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F3" w:rsidRDefault="00F04CAD" w:rsidP="00DE1483">
      <w:pPr>
        <w:tabs>
          <w:tab w:val="left" w:pos="-195"/>
          <w:tab w:val="left" w:pos="317"/>
        </w:tabs>
        <w:ind w:left="34" w:firstLine="0"/>
        <w:contextualSpacing/>
        <w:jc w:val="center"/>
        <w:rPr>
          <w:sz w:val="24"/>
          <w:szCs w:val="24"/>
          <w:u w:val="single"/>
        </w:rPr>
      </w:pPr>
      <w:r>
        <w:rPr>
          <w:sz w:val="32"/>
          <w:szCs w:val="24"/>
          <w:u w:val="single"/>
        </w:rPr>
        <w:t>Аналитическое</w:t>
      </w:r>
      <w:r w:rsidR="00472549">
        <w:rPr>
          <w:sz w:val="32"/>
          <w:szCs w:val="24"/>
          <w:u w:val="single"/>
        </w:rPr>
        <w:t xml:space="preserve"> управление</w:t>
      </w:r>
    </w:p>
    <w:p w:rsidR="0041585D" w:rsidRPr="00472549" w:rsidRDefault="0041585D" w:rsidP="0041585D">
      <w:pPr>
        <w:tabs>
          <w:tab w:val="left" w:pos="0"/>
          <w:tab w:val="left" w:pos="4680"/>
        </w:tabs>
        <w:ind w:firstLine="0"/>
        <w:rPr>
          <w:rFonts w:eastAsia="Calibri"/>
          <w:sz w:val="24"/>
          <w:szCs w:val="24"/>
        </w:rPr>
      </w:pPr>
    </w:p>
    <w:p w:rsidR="00C138F6" w:rsidRPr="008863DA" w:rsidRDefault="00C138F6" w:rsidP="00445D17">
      <w:pPr>
        <w:ind w:firstLine="0"/>
        <w:jc w:val="center"/>
        <w:rPr>
          <w:sz w:val="24"/>
          <w:szCs w:val="24"/>
          <w:u w:val="single"/>
        </w:rPr>
      </w:pPr>
      <w:bookmarkStart w:id="0" w:name="_GoBack"/>
      <w:bookmarkEnd w:id="0"/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642"/>
        <w:gridCol w:w="6677"/>
      </w:tblGrid>
      <w:tr w:rsidR="00AF0162" w:rsidRPr="008863DA" w:rsidTr="00C138F6">
        <w:tc>
          <w:tcPr>
            <w:tcW w:w="170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8863DA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7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8863DA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4CAD" w:rsidRPr="00F04CAD" w:rsidTr="00F04CAD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bCs/>
                <w:sz w:val="24"/>
                <w:szCs w:val="24"/>
              </w:rPr>
            </w:pPr>
            <w:r w:rsidRPr="00F04CAD">
              <w:rPr>
                <w:bCs/>
                <w:sz w:val="24"/>
                <w:szCs w:val="24"/>
              </w:rPr>
              <w:t xml:space="preserve">главная 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 xml:space="preserve">1) направления подготовки (специальности): </w:t>
            </w:r>
          </w:p>
          <w:p w:rsid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 xml:space="preserve">«Статистика», «Прикладная математика </w:t>
            </w:r>
            <w:r w:rsidRPr="00F04CAD">
              <w:rPr>
                <w:rFonts w:eastAsia="Calibri"/>
                <w:sz w:val="24"/>
                <w:szCs w:val="24"/>
              </w:rPr>
              <w:br/>
              <w:t>и информатика», «Экономика» и иные специальности экономического направления подготовки;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04CAD">
              <w:rPr>
                <w:rFonts w:eastAsia="Calibri"/>
                <w:sz w:val="24"/>
                <w:szCs w:val="24"/>
              </w:rPr>
              <w:t xml:space="preserve">Кодекс Российской Федерации об административных правонарушениях от 30 декабря 2001 г. № 195-ФЗ </w:t>
            </w:r>
            <w:r w:rsidRPr="00F04CAD">
              <w:rPr>
                <w:rFonts w:eastAsia="Calibri"/>
                <w:sz w:val="24"/>
                <w:szCs w:val="24"/>
              </w:rPr>
              <w:br/>
              <w:t>(Раздел 2, Глава 13, статьи 13.11, 13.14, 13.19; Глава 19, статья 19.7; Глава 28);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04CAD">
              <w:rPr>
                <w:rFonts w:eastAsia="Calibri"/>
                <w:sz w:val="24"/>
                <w:szCs w:val="24"/>
              </w:rPr>
              <w:t xml:space="preserve">Федеральный закон от 27 июля 2006 г. № 152-ФЗ </w:t>
            </w:r>
            <w:r w:rsidRPr="00F04CAD">
              <w:rPr>
                <w:rFonts w:eastAsia="Calibri"/>
                <w:sz w:val="24"/>
                <w:szCs w:val="24"/>
              </w:rPr>
              <w:br/>
              <w:t>«О персональных данных»;</w:t>
            </w:r>
          </w:p>
          <w:p w:rsid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F04CAD">
              <w:rPr>
                <w:rFonts w:eastAsia="Calibri"/>
                <w:sz w:val="24"/>
                <w:szCs w:val="24"/>
              </w:rPr>
              <w:t xml:space="preserve"> 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F04CAD">
              <w:rPr>
                <w:rFonts w:eastAsia="Calibri"/>
                <w:sz w:val="24"/>
                <w:szCs w:val="24"/>
              </w:rPr>
              <w:t xml:space="preserve"> Постановление Правительства Российской Федерации от 2 июня 2008 г. № 420 «О Федеральной службе государственной статистики».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3) иные профессиональные знания: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- понятие источников статистической информации, видов источников статистической информации, классификаторов, используемых для формирования официальной статистической информации;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 xml:space="preserve">- методики осуществления контроля качества, полноты </w:t>
            </w:r>
            <w:r w:rsidRPr="00F04CAD">
              <w:rPr>
                <w:rFonts w:eastAsia="Calibri"/>
                <w:sz w:val="24"/>
                <w:szCs w:val="24"/>
              </w:rPr>
              <w:br/>
              <w:t xml:space="preserve">и обработки статистической собираемой информации; 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- методы осуществления статистических расчетов;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lastRenderedPageBreak/>
              <w:t>- основы общей теории статистики;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- порядок формирования статистической информации;</w:t>
            </w:r>
          </w:p>
          <w:p w:rsid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- статистические пакеты прикладных программ.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4) профессиональные умения: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- применение статистических пакетов прикладных программ;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- работа с различными источниками статистической информации;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 xml:space="preserve">- осуществление статистических расчетов с применением соответствующих математических методов </w:t>
            </w:r>
            <w:r w:rsidRPr="00F04CAD">
              <w:rPr>
                <w:rFonts w:eastAsia="Calibri"/>
                <w:sz w:val="24"/>
                <w:szCs w:val="24"/>
              </w:rPr>
              <w:br/>
              <w:t>и информационных технологий, а также проведение аналитической работы с полученными данными;</w:t>
            </w:r>
          </w:p>
          <w:p w:rsid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- 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(ЕМИСС).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5) функциональные знания: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- понятие нормы права, нормативного правового акта, правоотношений и их признаки;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- понятие проекта нормативного правового акта, инструменты и этапы его разработки;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- понятие – экономическое описание задачи по сбору и обработке статистических данных;</w:t>
            </w:r>
          </w:p>
          <w:p w:rsid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- основные модели связей с общественностью.</w:t>
            </w: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F04CAD" w:rsidRPr="00F04CAD" w:rsidRDefault="00F04CAD" w:rsidP="00F04CA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6) функциональные умения: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- разработка, рассмотрение и согласование проектов нормативных правовых актов и других документов;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-подготовка методических рекомендаций, разъяснений;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- подготовка аналитических, информационных и других отчетных материалов;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 xml:space="preserve">- взаимодействие со СМИ и </w:t>
            </w:r>
            <w:proofErr w:type="spellStart"/>
            <w:r w:rsidRPr="00F04CAD">
              <w:rPr>
                <w:rFonts w:eastAsia="Calibri"/>
                <w:sz w:val="24"/>
                <w:szCs w:val="24"/>
              </w:rPr>
              <w:t>референтными</w:t>
            </w:r>
            <w:proofErr w:type="spellEnd"/>
            <w:r w:rsidRPr="00F04CAD">
              <w:rPr>
                <w:rFonts w:eastAsia="Calibri"/>
                <w:sz w:val="24"/>
                <w:szCs w:val="24"/>
              </w:rPr>
              <w:t xml:space="preserve"> группами;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 xml:space="preserve">- организация и проведение мониторингов в установленной </w:t>
            </w:r>
            <w:r w:rsidRPr="00F04CAD">
              <w:rPr>
                <w:rFonts w:eastAsia="Calibri"/>
                <w:sz w:val="24"/>
                <w:szCs w:val="24"/>
              </w:rPr>
              <w:lastRenderedPageBreak/>
              <w:t>сфере деятельности.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lastRenderedPageBreak/>
              <w:t>1) координация и мониторинг выполнения работ по подготовке и проведению Статистических обследований и переписей на федеральном уровне и в субъектах Российской Федерации;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 xml:space="preserve">2) формирование и предоставление информационно-аналитических материалов о ключевых показателях 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по запросам органов государственной власти, средств массовой информации;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 xml:space="preserve">3) разработка </w:t>
            </w:r>
            <w:proofErr w:type="gramStart"/>
            <w:r w:rsidRPr="00F04CAD">
              <w:rPr>
                <w:rFonts w:eastAsia="Calibri"/>
                <w:sz w:val="24"/>
                <w:szCs w:val="24"/>
              </w:rPr>
              <w:t>методологических</w:t>
            </w:r>
            <w:proofErr w:type="gramEnd"/>
            <w:r w:rsidRPr="00F04CA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и организационно-технологических подходов к использованию административных и альтернативных источников данных в государственной статистике;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4) формирование предложений по расширению перечня статистических показателей о демографическом, социальном и экономическом положении страны и субъектов Российской Федерации;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5) взаимодействие с органами исполнительной власти по вопросам получения административных данных с целью совершенствования существующих методик расчета статистических показателей;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6) подготовка предложений по приоритетным направлениям развития государственной статистики;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 xml:space="preserve">7) организация работы по взаимодействию 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 xml:space="preserve">со средствами массовой информации и общественностью по вопросам, отнесенным 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к компетенции Управления;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 xml:space="preserve">8) участие в подготовке планов Росстата по реализации Концепции открытости федеральных органов исполнительной </w:t>
            </w:r>
            <w:r w:rsidRPr="00F04CAD">
              <w:rPr>
                <w:rFonts w:eastAsia="Calibri"/>
                <w:sz w:val="24"/>
                <w:szCs w:val="24"/>
              </w:rPr>
              <w:lastRenderedPageBreak/>
              <w:t>власти;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 xml:space="preserve">9) организация взаимодействия Росстата 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 xml:space="preserve">с </w:t>
            </w:r>
            <w:proofErr w:type="spellStart"/>
            <w:r w:rsidRPr="00F04CAD">
              <w:rPr>
                <w:rFonts w:eastAsia="Calibri"/>
                <w:sz w:val="24"/>
                <w:szCs w:val="24"/>
              </w:rPr>
              <w:t>референтными</w:t>
            </w:r>
            <w:proofErr w:type="spellEnd"/>
            <w:r w:rsidRPr="00F04CAD">
              <w:rPr>
                <w:rFonts w:eastAsia="Calibri"/>
                <w:sz w:val="24"/>
                <w:szCs w:val="24"/>
              </w:rPr>
              <w:t xml:space="preserve"> группами в рамках осуществления полномочий Росстата, определенных Положением 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 xml:space="preserve">о Росстате; </w:t>
            </w:r>
          </w:p>
          <w:p w:rsidR="00F04CAD" w:rsidRPr="00F04CAD" w:rsidRDefault="00F04CAD" w:rsidP="00F04CA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04CAD">
              <w:rPr>
                <w:rFonts w:eastAsia="Calibri"/>
                <w:sz w:val="24"/>
                <w:szCs w:val="24"/>
              </w:rPr>
              <w:t>10) формирование требований на выполнение научно-методологических работ Росстата, определения условий исполнения государственных контрактов, критериев оценки выполнения работ, оказанных услуг по размещенным заказам, относящимся к компетенции Управления.</w:t>
            </w:r>
          </w:p>
        </w:tc>
      </w:tr>
    </w:tbl>
    <w:p w:rsidR="00E43DEA" w:rsidRPr="008863DA" w:rsidRDefault="00E43DEA" w:rsidP="0058538A">
      <w:pPr>
        <w:ind w:firstLine="0"/>
        <w:rPr>
          <w:sz w:val="24"/>
          <w:szCs w:val="24"/>
        </w:rPr>
      </w:pPr>
    </w:p>
    <w:sectPr w:rsidR="00E43DEA" w:rsidRPr="008863D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61DA4"/>
    <w:multiLevelType w:val="hybridMultilevel"/>
    <w:tmpl w:val="CC16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61BFC"/>
    <w:multiLevelType w:val="hybridMultilevel"/>
    <w:tmpl w:val="2BF0E8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7"/>
  </w:num>
  <w:num w:numId="11">
    <w:abstractNumId w:val="14"/>
  </w:num>
  <w:num w:numId="12">
    <w:abstractNumId w:val="17"/>
  </w:num>
  <w:num w:numId="13">
    <w:abstractNumId w:val="2"/>
  </w:num>
  <w:num w:numId="14">
    <w:abstractNumId w:val="13"/>
  </w:num>
  <w:num w:numId="15">
    <w:abstractNumId w:val="10"/>
  </w:num>
  <w:num w:numId="16">
    <w:abstractNumId w:val="9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076C1"/>
    <w:rsid w:val="00030C05"/>
    <w:rsid w:val="00080009"/>
    <w:rsid w:val="00097C68"/>
    <w:rsid w:val="001502C2"/>
    <w:rsid w:val="0015420E"/>
    <w:rsid w:val="001D595D"/>
    <w:rsid w:val="0021579B"/>
    <w:rsid w:val="00226D67"/>
    <w:rsid w:val="00227D92"/>
    <w:rsid w:val="00292703"/>
    <w:rsid w:val="002A5CE0"/>
    <w:rsid w:val="00325E2C"/>
    <w:rsid w:val="00382A41"/>
    <w:rsid w:val="00383156"/>
    <w:rsid w:val="003F403D"/>
    <w:rsid w:val="0041585D"/>
    <w:rsid w:val="00445D17"/>
    <w:rsid w:val="00472549"/>
    <w:rsid w:val="004838D0"/>
    <w:rsid w:val="0058538A"/>
    <w:rsid w:val="006F3E5E"/>
    <w:rsid w:val="0071091F"/>
    <w:rsid w:val="00754491"/>
    <w:rsid w:val="008779AB"/>
    <w:rsid w:val="008863DA"/>
    <w:rsid w:val="008A74FD"/>
    <w:rsid w:val="0091609C"/>
    <w:rsid w:val="00A21873"/>
    <w:rsid w:val="00A32D3B"/>
    <w:rsid w:val="00AF0162"/>
    <w:rsid w:val="00BE0462"/>
    <w:rsid w:val="00C138F6"/>
    <w:rsid w:val="00CD63F3"/>
    <w:rsid w:val="00CE0ADD"/>
    <w:rsid w:val="00DE1483"/>
    <w:rsid w:val="00E43DEA"/>
    <w:rsid w:val="00E84A36"/>
    <w:rsid w:val="00F04CAD"/>
    <w:rsid w:val="00F648FB"/>
    <w:rsid w:val="00FF1619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2020-07-06T15:14:00Z</dcterms:created>
  <dcterms:modified xsi:type="dcterms:W3CDTF">2020-07-06T15:14:00Z</dcterms:modified>
</cp:coreProperties>
</file>