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472549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>
        <w:rPr>
          <w:sz w:val="32"/>
          <w:szCs w:val="24"/>
          <w:u w:val="single"/>
        </w:rPr>
        <w:t>Финансово-экономическое управление</w:t>
      </w: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C138F6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2703" w:rsidRPr="00472549" w:rsidTr="00C138F6">
        <w:tc>
          <w:tcPr>
            <w:tcW w:w="1707" w:type="dxa"/>
          </w:tcPr>
          <w:p w:rsidR="00292703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472549">
              <w:rPr>
                <w:bCs/>
                <w:sz w:val="24"/>
                <w:szCs w:val="24"/>
              </w:rPr>
              <w:t xml:space="preserve">ведущая </w:t>
            </w:r>
          </w:p>
        </w:tc>
        <w:tc>
          <w:tcPr>
            <w:tcW w:w="6642" w:type="dxa"/>
          </w:tcPr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 xml:space="preserve">Направления подготовки (специальности) профессионального образования: 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 xml:space="preserve">«Государственный аудит», «Экономика», «Финансы и кредит». «Бухгалтерский учет, анализ и аудит», «Бухгалтерский учет, контроль и анализ хозяйственной деятельности», «Государственное и муниципальное управление», «Информационные системы в экономике» 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72549">
              <w:rPr>
                <w:b/>
                <w:sz w:val="24"/>
                <w:szCs w:val="24"/>
              </w:rPr>
              <w:t>2)</w:t>
            </w:r>
            <w:r w:rsidRPr="00472549">
              <w:rPr>
                <w:sz w:val="24"/>
                <w:szCs w:val="24"/>
              </w:rPr>
              <w:t xml:space="preserve"> </w:t>
            </w:r>
            <w:r w:rsidRPr="00472549">
              <w:rPr>
                <w:b/>
                <w:sz w:val="24"/>
                <w:szCs w:val="24"/>
              </w:rPr>
              <w:t>профессиональные знания в сфере законодательства Российской Федерации: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1) Бюджетный кодекс Российской Федерации от 31 июля 1998 г. № 145-ФЗ;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2) Кодекс Российской Федерации об административных правонарушениях от 30 декабря 2001 г. № 195-ФЗ;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3) Федеральный закон от 27 июля 2006 г. № 152-ФЗ «О персональных данных»;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4) Федеральный закон от 6 декабря 2011 г. № 402-ФЗ «О бухгалтерском учете»;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5) Федеральный закон о федеральном бюджете на соответствующий год;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72549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1) понятие бюджета и его социально-экономическая роль в обществе;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2) бюджетная система Российской Федерации;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lastRenderedPageBreak/>
              <w:t>3) понятие и виды бюджетной отчетности;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7) понятие и виды плана счетов бюджетного учета для органов государственной власти (государственных органов).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4</w:t>
            </w:r>
            <w:r w:rsidRPr="00472549">
              <w:rPr>
                <w:b/>
                <w:sz w:val="24"/>
                <w:szCs w:val="24"/>
              </w:rPr>
              <w:t>) профессиональные умения:</w:t>
            </w:r>
          </w:p>
          <w:p w:rsidR="00472549" w:rsidRPr="00472549" w:rsidRDefault="00472549" w:rsidP="00FF1A20">
            <w:pPr>
              <w:ind w:firstLine="0"/>
              <w:rPr>
                <w:sz w:val="24"/>
                <w:szCs w:val="24"/>
              </w:rPr>
            </w:pPr>
            <w:bookmarkStart w:id="0" w:name="_Hlk40644755"/>
            <w:r w:rsidRPr="00472549">
              <w:rPr>
                <w:sz w:val="24"/>
                <w:szCs w:val="24"/>
              </w:rPr>
              <w:t xml:space="preserve">1) работа с государственной интегрированной информационной системой управления общественными финансами «Электронный бюджет», в </w:t>
            </w:r>
            <w:proofErr w:type="spellStart"/>
            <w:r w:rsidRPr="00472549">
              <w:rPr>
                <w:sz w:val="24"/>
                <w:szCs w:val="24"/>
              </w:rPr>
              <w:t>т.ч</w:t>
            </w:r>
            <w:proofErr w:type="spellEnd"/>
            <w:r w:rsidRPr="00472549">
              <w:rPr>
                <w:sz w:val="24"/>
                <w:szCs w:val="24"/>
              </w:rPr>
              <w:t xml:space="preserve">. ее подсистемой «Бюджетное планирование»; </w:t>
            </w:r>
          </w:p>
          <w:p w:rsidR="00472549" w:rsidRPr="00472549" w:rsidRDefault="00472549" w:rsidP="00FF1A20">
            <w:pPr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2) работа с бюджетной отчетностью;</w:t>
            </w:r>
          </w:p>
          <w:p w:rsidR="00472549" w:rsidRPr="00472549" w:rsidRDefault="00472549" w:rsidP="00FF1A20">
            <w:pPr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3) формирование и ведение реестра источников доходов.</w:t>
            </w:r>
          </w:p>
          <w:bookmarkEnd w:id="0"/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 xml:space="preserve">5) </w:t>
            </w:r>
            <w:r w:rsidRPr="00472549">
              <w:rPr>
                <w:b/>
                <w:sz w:val="24"/>
                <w:szCs w:val="24"/>
              </w:rPr>
              <w:t>функциональные знания: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1) знание прикладных программ, используемых для организации исполнения бюджета;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2) принципы бюджетного учета и отчетности;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3) понятие, процедуры рассмотрения обращений граждан.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72549">
              <w:rPr>
                <w:b/>
                <w:sz w:val="24"/>
                <w:szCs w:val="24"/>
              </w:rPr>
              <w:t>6) функциональные умения: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1) подготовка методических рекомендаций, разъяснений;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2) разработка, рассмотрение и согласование проектов нормативных правовых актов и других документов;</w:t>
            </w:r>
          </w:p>
          <w:p w:rsidR="00472549" w:rsidRPr="00472549" w:rsidRDefault="00472549" w:rsidP="00FF1A2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72549">
              <w:rPr>
                <w:sz w:val="24"/>
                <w:szCs w:val="24"/>
              </w:rPr>
              <w:t>3) анализ эффективности и результативности расходования бюджетных средств</w:t>
            </w:r>
          </w:p>
          <w:p w:rsidR="00292703" w:rsidRPr="00472549" w:rsidRDefault="00292703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677" w:type="dxa"/>
          </w:tcPr>
          <w:p w:rsidR="00472549" w:rsidRPr="00472549" w:rsidRDefault="00472549" w:rsidP="00472549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Должностные обязанности зависят от направления деятельности отдела.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1) обеспечение проведения мониторинга, документальных проверок внутриведомственного финансового контроля (включая сферу закупок) в территориальных органах государственной статистики, федеральных бюджетных и казенных учреждениях Росстата;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2) организация проведения проверок и составление отчетности о проведенных проверках внутреннего финансового аудита в Росстате и представление руководству результатов контрольных мероприятий;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3) организация методической и практической помощи по вопросам повышения роли внутреннего финансового контроля и внутреннего финансового аудита в Росстате;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4) осуществление подготовки предложений по внесению изменений в нормативные акты Росстата;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5) организация проведения мониторинга и составление отчетности по внутреннему финансовому контролю и внутреннему финансовому аудиту в Федеральной службе государственной статистики, её территориальных органах, государственных казенных и бюджетных учреждений Росстата;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6) подготовка материалов к проекту федерального бюджета на очередной финансовый год и плановый период; ведение бюджетной росписи главного распорядителя бюджетных средств;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7) ведение бюджетной сметы получателя бюджетных средств; подготовка материалов в части финансового обеспечения и </w:t>
            </w:r>
            <w:r w:rsidRPr="00472549">
              <w:rPr>
                <w:rFonts w:eastAsia="Calibri"/>
                <w:sz w:val="24"/>
                <w:szCs w:val="24"/>
              </w:rPr>
              <w:lastRenderedPageBreak/>
              <w:t xml:space="preserve">финансовой отчетности подпрограмм государственных программ Российской Федерации;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8) подготовка периодических отчетов по исполнению федерального бюджета; рассмотрение и подготовка ответов на запросы территориальных органов Росстата, юридических и физических лиц; подготовка аналитических материалов по исполнению бюджетных назначений.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9) осуществление </w:t>
            </w:r>
            <w:proofErr w:type="gramStart"/>
            <w:r w:rsidRPr="00472549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472549">
              <w:rPr>
                <w:rFonts w:eastAsia="Calibri"/>
                <w:sz w:val="24"/>
                <w:szCs w:val="24"/>
              </w:rPr>
              <w:t xml:space="preserve"> соответствием объемов заключенных договоров объемам доведенных лимитов бюджетных обязательств;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10) Формирование Сведений о бюджетных и денежных обязательствах и направление их в Межрегиональное управление Федерального казначейства на регистрацию;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472549">
              <w:rPr>
                <w:rFonts w:eastAsia="Calibri"/>
                <w:sz w:val="24"/>
                <w:szCs w:val="24"/>
              </w:rPr>
              <w:t xml:space="preserve">11) осуществление анализа расходования фонда оплаты труда центрального аппарата Росстата; Формирование табеля учета рабочего времени по центральному аппарату Росстата в ПО; 12) Осуществление расчетов с контрагентами по договорным и иным обязательствам; </w:t>
            </w:r>
            <w:proofErr w:type="gramEnd"/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13) реализация полномочий Росстата по осуществлению функций главного распорядителя средств федерального бюджета;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14) выполнение операций по заполнению перечня источников доходов Российской Федерации в системе Министерства финансов Российской Федерации «Бюджетное планирование» государственной интегрированной информационной системы управления общественными финансами «Электронный бюджет»;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15) представление информации об объемах некассовых операций по расходам федерального бюджета на реализацию соглашений с международными финансовыми организациями, осуществляемых за счет средств целевых иностранных кредитов (заимствований) в автоматизированную информационную систему Счетной палаты «Единая проектная среда»;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lastRenderedPageBreak/>
              <w:t xml:space="preserve">16) проверка правильности заполнения (в соответствии с проведенным мониторингом) данных и внесение изменений (правок) </w:t>
            </w:r>
            <w:proofErr w:type="spellStart"/>
            <w:r w:rsidRPr="00472549">
              <w:rPr>
                <w:rFonts w:eastAsia="Calibri"/>
                <w:sz w:val="24"/>
                <w:szCs w:val="24"/>
              </w:rPr>
              <w:t>ОБАСов</w:t>
            </w:r>
            <w:proofErr w:type="spellEnd"/>
            <w:r w:rsidRPr="00472549">
              <w:rPr>
                <w:rFonts w:eastAsia="Calibri"/>
                <w:sz w:val="24"/>
                <w:szCs w:val="24"/>
              </w:rPr>
              <w:t xml:space="preserve"> в системе Министерства финансов Российской Федерации «Бюджетное планирование» государственной интегрированной информационной системы управления общественными финансами «Электронный бюджет» на уплату земельного налога и налога на имущество организаций по всей системе Росстата; </w:t>
            </w:r>
          </w:p>
          <w:p w:rsidR="00472549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 xml:space="preserve">17) принятие сформированных обоснований (расчетов) плановых сметных показателей в системе «Бюджетное планирование» на сайте Минфина России потребности бюджетных ассигнований (лимитов бюджетных обязательств) в части уплаты земельного налога и налога на имущество организаций по всей системе Росстата; </w:t>
            </w:r>
          </w:p>
          <w:p w:rsidR="00292703" w:rsidRPr="00472549" w:rsidRDefault="00472549" w:rsidP="00472549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472549">
              <w:rPr>
                <w:rFonts w:eastAsia="Calibri"/>
                <w:sz w:val="24"/>
                <w:szCs w:val="24"/>
              </w:rPr>
              <w:t>18) осуществление планирования потребности средств в уплате налога на имущество организаций и земельного налога центрального аппарата, территориальных органов и Федерального казенного учреждения Росстата.</w:t>
            </w: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92703"/>
    <w:rsid w:val="002A5CE0"/>
    <w:rsid w:val="00382A41"/>
    <w:rsid w:val="00383156"/>
    <w:rsid w:val="003F403D"/>
    <w:rsid w:val="00445D17"/>
    <w:rsid w:val="00472549"/>
    <w:rsid w:val="004838D0"/>
    <w:rsid w:val="0058538A"/>
    <w:rsid w:val="006F3E5E"/>
    <w:rsid w:val="0071091F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E43DEA"/>
    <w:rsid w:val="00E84A36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2020-07-06T15:02:00Z</dcterms:created>
  <dcterms:modified xsi:type="dcterms:W3CDTF">2020-07-06T15:02:00Z</dcterms:modified>
</cp:coreProperties>
</file>