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D" w:rsidRPr="0073787E" w:rsidRDefault="0010106D" w:rsidP="0010106D">
      <w:pPr>
        <w:pStyle w:val="ZAGG1"/>
      </w:pPr>
      <w:bookmarkStart w:id="0" w:name="_GoBack"/>
      <w:bookmarkEnd w:id="0"/>
      <w:r w:rsidRPr="005C09C5">
        <w:t>14</w:t>
      </w:r>
      <w:r w:rsidRPr="0073787E">
        <w:t>.2. Структура пассажирооборота по видам транспорта</w:t>
      </w:r>
      <w:proofErr w:type="gramStart"/>
      <w:r w:rsidRPr="0073787E">
        <w:rPr>
          <w:vertAlign w:val="superscript"/>
        </w:rPr>
        <w:t>1</w:t>
      </w:r>
      <w:proofErr w:type="gramEnd"/>
      <w:r w:rsidRPr="0073787E">
        <w:rPr>
          <w:vertAlign w:val="superscript"/>
        </w:rPr>
        <w:t>)</w:t>
      </w:r>
    </w:p>
    <w:p w:rsidR="0010106D" w:rsidRPr="0073787E" w:rsidRDefault="0010106D" w:rsidP="0010106D">
      <w:pPr>
        <w:spacing w:after="60"/>
        <w:jc w:val="center"/>
        <w:rPr>
          <w:rFonts w:ascii="Arial" w:hAnsi="Arial" w:cs="Arial"/>
          <w:sz w:val="12"/>
          <w:szCs w:val="12"/>
        </w:rPr>
      </w:pPr>
      <w:r w:rsidRPr="0073787E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5"/>
        <w:gridCol w:w="655"/>
        <w:gridCol w:w="655"/>
        <w:gridCol w:w="655"/>
        <w:gridCol w:w="655"/>
        <w:gridCol w:w="655"/>
        <w:gridCol w:w="656"/>
      </w:tblGrid>
      <w:tr w:rsidR="0010106D" w:rsidRPr="0073787E" w:rsidTr="0064201E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06D" w:rsidRPr="0073787E" w:rsidRDefault="001010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06D" w:rsidRPr="0073787E" w:rsidRDefault="001010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06D" w:rsidRPr="0073787E" w:rsidRDefault="001010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06D" w:rsidRPr="0073787E" w:rsidRDefault="001010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06D" w:rsidRPr="0073787E" w:rsidRDefault="001010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06D" w:rsidRPr="0073787E" w:rsidRDefault="001010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06D" w:rsidRPr="0073787E" w:rsidRDefault="0010106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Транспорт</w:t>
            </w:r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73787E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железнодорожный</w:t>
            </w:r>
            <w:proofErr w:type="gramStart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39,2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36,0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32,5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25</w:t>
            </w: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23,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автобусный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52,7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48,0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32,9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26,6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73787E">
              <w:rPr>
                <w:rFonts w:ascii="Arial" w:hAnsi="Arial" w:cs="Arial"/>
                <w:sz w:val="14"/>
                <w:szCs w:val="14"/>
              </w:rPr>
              <w:t>,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водный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0,02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0,01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воздушный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8,1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16,0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10106D" w:rsidRPr="0073787E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34,4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47,9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06D" w:rsidRPr="0073787E" w:rsidRDefault="0010106D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54</w:t>
            </w:r>
            <w:r w:rsidRPr="0073787E">
              <w:rPr>
                <w:rFonts w:ascii="Arial" w:hAnsi="Arial" w:cs="Arial"/>
                <w:sz w:val="14"/>
                <w:szCs w:val="14"/>
              </w:rPr>
              <w:t>,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</w:tbl>
    <w:p w:rsidR="0010106D" w:rsidRPr="005C09C5" w:rsidRDefault="0010106D" w:rsidP="0010106D">
      <w:pPr>
        <w:tabs>
          <w:tab w:val="center" w:pos="7655"/>
        </w:tabs>
        <w:spacing w:before="60"/>
        <w:ind w:left="142" w:hanging="142"/>
        <w:rPr>
          <w:rFonts w:ascii="Arial" w:hAnsi="Arial" w:cs="Arial"/>
          <w:sz w:val="12"/>
          <w:szCs w:val="12"/>
        </w:rPr>
      </w:pPr>
      <w:r w:rsidRPr="005C09C5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5C09C5">
        <w:rPr>
          <w:rFonts w:ascii="Arial" w:hAnsi="Arial" w:cs="Arial"/>
          <w:sz w:val="12"/>
          <w:szCs w:val="12"/>
        </w:rPr>
        <w:t>Без городского электрического транспорта и легков</w:t>
      </w:r>
      <w:r>
        <w:rPr>
          <w:rFonts w:ascii="Arial" w:hAnsi="Arial" w:cs="Arial"/>
          <w:sz w:val="12"/>
          <w:szCs w:val="12"/>
        </w:rPr>
        <w:t>ого</w:t>
      </w:r>
      <w:r w:rsidRPr="005C09C5">
        <w:rPr>
          <w:rFonts w:ascii="Arial" w:hAnsi="Arial" w:cs="Arial"/>
          <w:sz w:val="12"/>
          <w:szCs w:val="12"/>
        </w:rPr>
        <w:t xml:space="preserve"> такси.</w:t>
      </w:r>
    </w:p>
    <w:p w:rsidR="0010106D" w:rsidRPr="001414DD" w:rsidRDefault="0010106D" w:rsidP="0010106D">
      <w:pPr>
        <w:tabs>
          <w:tab w:val="center" w:pos="7655"/>
        </w:tabs>
        <w:ind w:left="112" w:hanging="112"/>
        <w:rPr>
          <w:rFonts w:ascii="Arial" w:hAnsi="Arial" w:cs="Arial"/>
          <w:strike/>
          <w:sz w:val="12"/>
          <w:szCs w:val="12"/>
        </w:rPr>
      </w:pPr>
      <w:r w:rsidRPr="005C09C5">
        <w:rPr>
          <w:rFonts w:ascii="Arial" w:hAnsi="Arial" w:cs="Arial"/>
          <w:sz w:val="12"/>
          <w:szCs w:val="12"/>
          <w:vertAlign w:val="superscript"/>
        </w:rPr>
        <w:t>2)</w:t>
      </w:r>
      <w:r>
        <w:rPr>
          <w:rFonts w:ascii="Arial" w:hAnsi="Arial" w:cs="Arial"/>
          <w:sz w:val="12"/>
          <w:szCs w:val="12"/>
        </w:rPr>
        <w:t> С</w:t>
      </w:r>
      <w:r w:rsidRPr="005C09C5">
        <w:rPr>
          <w:rFonts w:ascii="Arial" w:hAnsi="Arial" w:cs="Arial"/>
          <w:sz w:val="12"/>
          <w:szCs w:val="12"/>
        </w:rPr>
        <w:t xml:space="preserve"> учетом объемов перевозок пассажиров, пользующихся правом бесплатного проезда в пригородном </w:t>
      </w:r>
      <w:r w:rsidRPr="00FB47F9">
        <w:rPr>
          <w:rFonts w:ascii="Arial" w:hAnsi="Arial" w:cs="Arial"/>
          <w:sz w:val="12"/>
          <w:szCs w:val="12"/>
        </w:rPr>
        <w:t>сообщении.</w:t>
      </w:r>
      <w:r w:rsidRPr="001414DD">
        <w:rPr>
          <w:rFonts w:ascii="Arial" w:hAnsi="Arial" w:cs="Arial"/>
          <w:strike/>
          <w:sz w:val="12"/>
          <w:szCs w:val="12"/>
          <w:highlight w:val="yellow"/>
        </w:rPr>
        <w:t xml:space="preserve"> </w:t>
      </w:r>
    </w:p>
    <w:p w:rsidR="0010106D" w:rsidRDefault="0010106D" w:rsidP="0010106D">
      <w:pPr>
        <w:ind w:left="142" w:hanging="142"/>
        <w:rPr>
          <w:rFonts w:ascii="Arial" w:hAnsi="Arial" w:cs="Arial"/>
          <w:sz w:val="12"/>
          <w:szCs w:val="12"/>
        </w:rPr>
      </w:pPr>
      <w:r w:rsidRPr="005C09C5">
        <w:rPr>
          <w:rFonts w:ascii="Arial" w:hAnsi="Arial" w:cs="Arial"/>
          <w:sz w:val="12"/>
          <w:szCs w:val="12"/>
          <w:vertAlign w:val="superscript"/>
        </w:rPr>
        <w:t>3)</w:t>
      </w:r>
      <w:r>
        <w:rPr>
          <w:rFonts w:ascii="Arial" w:hAnsi="Arial" w:cs="Arial"/>
          <w:sz w:val="12"/>
          <w:szCs w:val="12"/>
        </w:rPr>
        <w:t> С</w:t>
      </w:r>
      <w:r w:rsidRPr="005C09C5">
        <w:rPr>
          <w:rFonts w:ascii="Arial" w:hAnsi="Arial" w:cs="Arial"/>
          <w:sz w:val="12"/>
          <w:szCs w:val="12"/>
        </w:rPr>
        <w:t xml:space="preserve"> учетом нерегулярных авиаперевозчиков. </w:t>
      </w:r>
    </w:p>
    <w:p w:rsidR="007C03A1" w:rsidRPr="00645653" w:rsidRDefault="007C03A1" w:rsidP="00645653"/>
    <w:sectPr w:rsidR="007C03A1" w:rsidRPr="0064565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10106D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1010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16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469E-8824-49DF-854A-1D631434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111</cp:revision>
  <cp:lastPrinted>2022-12-12T12:48:00Z</cp:lastPrinted>
  <dcterms:created xsi:type="dcterms:W3CDTF">2022-12-13T07:44:00Z</dcterms:created>
  <dcterms:modified xsi:type="dcterms:W3CDTF">2022-12-14T07:45:00Z</dcterms:modified>
</cp:coreProperties>
</file>