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D1" w:rsidRPr="00D95370" w:rsidRDefault="00CD0BD1" w:rsidP="00CD0BD1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5.8</w:t>
      </w:r>
      <w:r w:rsidRPr="00D95370">
        <w:rPr>
          <w:rFonts w:ascii="Arial" w:hAnsi="Arial" w:cs="Arial"/>
          <w:b/>
          <w:bCs/>
          <w:caps/>
          <w:sz w:val="16"/>
          <w:szCs w:val="16"/>
        </w:rPr>
        <w:t xml:space="preserve">. Распределение домашних хозяйств </w:t>
      </w:r>
      <w:r w:rsidRPr="00D95370">
        <w:rPr>
          <w:rFonts w:ascii="Arial" w:hAnsi="Arial" w:cs="Arial"/>
          <w:b/>
          <w:bCs/>
          <w:caps/>
          <w:sz w:val="16"/>
          <w:szCs w:val="16"/>
        </w:rPr>
        <w:br/>
        <w:t>по удельному весу расходов на покупку продуктов питания</w:t>
      </w:r>
    </w:p>
    <w:p w:rsidR="00CD0BD1" w:rsidRPr="00D95370" w:rsidRDefault="00CD0BD1" w:rsidP="00CD0BD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649"/>
        <w:gridCol w:w="644"/>
        <w:gridCol w:w="644"/>
        <w:gridCol w:w="644"/>
        <w:gridCol w:w="645"/>
        <w:gridCol w:w="644"/>
        <w:gridCol w:w="643"/>
      </w:tblGrid>
      <w:tr w:rsidR="00CD0BD1" w:rsidRPr="00D95370" w:rsidTr="00B242B8">
        <w:trPr>
          <w:jc w:val="center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D1" w:rsidRPr="00D95370" w:rsidRDefault="00CD0BD1" w:rsidP="00B242B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D1" w:rsidRPr="00D95370" w:rsidRDefault="00CD0BD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BD1" w:rsidRPr="00D95370" w:rsidRDefault="00CD0BD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D1" w:rsidRPr="00D95370" w:rsidRDefault="00CD0BD1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537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D1" w:rsidRPr="006E6149" w:rsidRDefault="00CD0BD1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0BD1" w:rsidRPr="006E6149" w:rsidRDefault="00CD0BD1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D1" w:rsidRPr="006E6149" w:rsidRDefault="00CD0BD1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D0BD1" w:rsidRPr="006E6149" w:rsidRDefault="00CD0BD1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CD0BD1" w:rsidRPr="00D95370" w:rsidRDefault="00CD0BD1" w:rsidP="00B242B8">
            <w:pPr>
              <w:autoSpaceDE w:val="0"/>
              <w:autoSpaceDN w:val="0"/>
              <w:adjustRightInd w:val="0"/>
              <w:spacing w:before="1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4" w:type="pct"/>
            <w:gridSpan w:val="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D0BD1" w:rsidRPr="00D95370" w:rsidRDefault="00CD0BD1" w:rsidP="00B242B8">
            <w:pPr>
              <w:tabs>
                <w:tab w:val="center" w:pos="7655"/>
              </w:tabs>
              <w:spacing w:before="160"/>
              <w:ind w:right="22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370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Все домашние хозяйства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домашние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хозяйства, у которых доля расходов на покупку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продуктов питания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в потребительских расходах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составила, процентов: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до 20,0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6,6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6,0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20,1 – 30,0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16,9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15,6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30,1 – 40,0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26,8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24,5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40,1 – 50,0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25,6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24,7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50,1 – 60,0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16,5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18,3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60,1 – 70,0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6,1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8,5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свыше 70,0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7E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77E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4" w:type="pct"/>
            <w:gridSpan w:val="7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spacing w:before="1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Все домашние хозяйства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домашние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хозяйства, у которых доля расходов на покупку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продуктов питания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в потребительских расходах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составила, процентов: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до 20,0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20,1 – 30,0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30,1 – 40,0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40,1 – 50,0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50,1 – 60,0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60,1 – 70,0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9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89" w:type="pct"/>
            <w:tcBorders>
              <w:lef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CD0BD1" w:rsidRPr="00D95370" w:rsidTr="00B242B8">
        <w:trPr>
          <w:trHeight w:val="60"/>
          <w:jc w:val="center"/>
        </w:trPr>
        <w:tc>
          <w:tcPr>
            <w:tcW w:w="1566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D0BD1" w:rsidRPr="00377E9F" w:rsidRDefault="00CD0BD1" w:rsidP="00B242B8">
            <w:pPr>
              <w:tabs>
                <w:tab w:val="center" w:pos="7655"/>
              </w:tabs>
              <w:spacing w:before="16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свыше 70,0</w:t>
            </w:r>
          </w:p>
        </w:tc>
        <w:tc>
          <w:tcPr>
            <w:tcW w:w="4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89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D0BD1" w:rsidRPr="00377E9F" w:rsidRDefault="00CD0BD1" w:rsidP="00B242B8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CD0BD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D0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C71D-F65A-43A7-BFA3-AFFF1D73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34</cp:revision>
  <cp:lastPrinted>2022-12-12T12:48:00Z</cp:lastPrinted>
  <dcterms:created xsi:type="dcterms:W3CDTF">2022-12-13T07:44:00Z</dcterms:created>
  <dcterms:modified xsi:type="dcterms:W3CDTF">2022-12-13T11:32:00Z</dcterms:modified>
</cp:coreProperties>
</file>