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6986E" w14:textId="77777777"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p>
    <w:p w14:paraId="2E526D0F"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14:paraId="2B2E9BA9"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1.0)</w:t>
      </w:r>
    </w:p>
    <w:p w14:paraId="3616799D" w14:textId="77777777"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14:paraId="17443FFF"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14:paraId="3057E9D0" w14:textId="77777777" w:rsidR="00780F08" w:rsidRPr="005126D2" w:rsidRDefault="00780F08" w:rsidP="00A343D5">
      <w:pPr>
        <w:pBdr>
          <w:top w:val="nil"/>
          <w:left w:val="nil"/>
          <w:bottom w:val="nil"/>
          <w:right w:val="nil"/>
          <w:between w:val="nil"/>
          <w:bar w:val="nil"/>
        </w:pBdr>
        <w:spacing w:after="0"/>
        <w:rPr>
          <w:rFonts w:eastAsia="Arial Unicode MS" w:cs="Times New Roman"/>
          <w:szCs w:val="24"/>
          <w:bdr w:val="nil"/>
          <w:lang w:eastAsia="ru-RU"/>
        </w:rPr>
      </w:pPr>
      <w:r w:rsidRPr="00A343D5">
        <w:rPr>
          <w:rFonts w:eastAsia="Arial Unicode MS" w:cs="Times New Roman"/>
          <w:szCs w:val="24"/>
          <w:bdr w:val="nil"/>
          <w:lang w:eastAsia="ru-RU"/>
        </w:rPr>
        <w:t xml:space="preserve">Цель </w:t>
      </w:r>
      <w:r w:rsidR="005126D2" w:rsidRPr="005126D2">
        <w:rPr>
          <w:rFonts w:eastAsia="Arial Unicode MS" w:cs="Times New Roman"/>
          <w:szCs w:val="24"/>
          <w:bdr w:val="nil"/>
          <w:lang w:eastAsia="ru-RU"/>
        </w:rPr>
        <w:t>7</w:t>
      </w:r>
      <w:r w:rsidRPr="00A343D5">
        <w:rPr>
          <w:rFonts w:eastAsia="Arial Unicode MS" w:cs="Times New Roman"/>
          <w:szCs w:val="24"/>
          <w:bdr w:val="nil"/>
          <w:lang w:eastAsia="ru-RU"/>
        </w:rPr>
        <w:t xml:space="preserve">: </w:t>
      </w:r>
      <w:r w:rsidR="005126D2" w:rsidRPr="005126D2">
        <w:rPr>
          <w:rFonts w:eastAsia="Arial Unicode MS" w:cs="Times New Roman"/>
          <w:szCs w:val="24"/>
          <w:bdr w:val="nil"/>
          <w:lang w:eastAsia="ru-RU"/>
        </w:rPr>
        <w:t>Обеспечение доступа к недорогим, надежным, устойчивым и современным источникам энергии для всех.</w:t>
      </w:r>
    </w:p>
    <w:p w14:paraId="37B191AD"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14:paraId="322E6DC5" w14:textId="77777777" w:rsidR="002F63E5" w:rsidRPr="005126D2" w:rsidRDefault="005126D2" w:rsidP="00A343D5">
      <w:pPr>
        <w:pBdr>
          <w:top w:val="nil"/>
          <w:left w:val="nil"/>
          <w:bottom w:val="nil"/>
          <w:right w:val="nil"/>
          <w:between w:val="nil"/>
          <w:bar w:val="nil"/>
        </w:pBdr>
        <w:spacing w:after="0"/>
        <w:rPr>
          <w:rFonts w:cs="Times New Roman"/>
          <w:szCs w:val="24"/>
        </w:rPr>
      </w:pPr>
      <w:r w:rsidRPr="005126D2">
        <w:rPr>
          <w:rFonts w:cs="Times New Roman"/>
          <w:szCs w:val="24"/>
        </w:rPr>
        <w:t>7</w:t>
      </w:r>
      <w:r w:rsidR="00780F08" w:rsidRPr="00A343D5">
        <w:rPr>
          <w:rFonts w:cs="Times New Roman"/>
          <w:szCs w:val="24"/>
        </w:rPr>
        <w:t>.</w:t>
      </w:r>
      <w:r w:rsidR="00503093">
        <w:rPr>
          <w:rFonts w:cs="Times New Roman"/>
          <w:szCs w:val="24"/>
        </w:rPr>
        <w:t>а</w:t>
      </w:r>
      <w:r w:rsidR="00780F08" w:rsidRPr="00A343D5">
        <w:rPr>
          <w:rFonts w:cs="Times New Roman"/>
          <w:szCs w:val="24"/>
        </w:rPr>
        <w:t xml:space="preserve">.  </w:t>
      </w:r>
      <w:r w:rsidR="00503093" w:rsidRPr="00503093">
        <w:rPr>
          <w:rFonts w:cs="Times New Roman"/>
          <w:szCs w:val="24"/>
        </w:rPr>
        <w:t>К 2030 году активизировать международное сотрудничество в целях облегчения доступа к исследованиям и технологиям в области экологически чистой энергетики, включая возобновляемую энергетику, повышение энергоэффективности и передовые и более чистые технологии использования ископаемого топлива, и поощрять инвестиции в энергетическую инфраструктуру и технологии экологически чистой энергетики</w:t>
      </w:r>
    </w:p>
    <w:p w14:paraId="3A35E2D4"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14:paraId="404BA4B3" w14:textId="77777777" w:rsidR="006677B0" w:rsidRPr="005126D2" w:rsidRDefault="003143BC" w:rsidP="006677B0">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5126D2" w:rsidRPr="005126D2">
        <w:rPr>
          <w:rFonts w:cs="Times New Roman"/>
          <w:szCs w:val="24"/>
        </w:rPr>
        <w:t>7</w:t>
      </w:r>
      <w:r w:rsidR="00780F08" w:rsidRPr="00A343D5">
        <w:rPr>
          <w:rFonts w:cs="Times New Roman"/>
          <w:szCs w:val="24"/>
        </w:rPr>
        <w:t>.</w:t>
      </w:r>
      <w:r w:rsidR="00503093">
        <w:rPr>
          <w:rFonts w:cs="Times New Roman"/>
          <w:szCs w:val="24"/>
        </w:rPr>
        <w:t>а</w:t>
      </w:r>
      <w:r w:rsidR="00465587">
        <w:rPr>
          <w:rFonts w:cs="Times New Roman"/>
          <w:szCs w:val="24"/>
        </w:rPr>
        <w:t>.</w:t>
      </w:r>
      <w:r w:rsidR="00503093">
        <w:rPr>
          <w:rFonts w:cs="Times New Roman"/>
          <w:szCs w:val="24"/>
        </w:rPr>
        <w:t>1</w:t>
      </w:r>
      <w:r w:rsidR="006677B0">
        <w:rPr>
          <w:rFonts w:cs="Times New Roman"/>
          <w:szCs w:val="24"/>
        </w:rPr>
        <w:t>.</w:t>
      </w:r>
      <w:r w:rsidR="006677B0" w:rsidRPr="006677B0">
        <w:rPr>
          <w:rFonts w:cs="Times New Roman"/>
          <w:szCs w:val="24"/>
        </w:rPr>
        <w:t xml:space="preserve"> </w:t>
      </w:r>
      <w:r w:rsidR="00503093" w:rsidRPr="00503093">
        <w:rPr>
          <w:rFonts w:cs="Times New Roman"/>
          <w:szCs w:val="24"/>
        </w:rPr>
        <w:t>Объем международных финансовых потоков, поступающих в развивающие страны для поддержки исследований и разработок в области «чистой» энергии и развития энергетики на возобновляемых источниках, включая комбинированные системы</w:t>
      </w:r>
      <w:r w:rsidR="00503093">
        <w:rPr>
          <w:rFonts w:cs="Times New Roman"/>
          <w:szCs w:val="24"/>
        </w:rPr>
        <w:t>.</w:t>
      </w:r>
    </w:p>
    <w:p w14:paraId="30FA3E05" w14:textId="77777777" w:rsidR="003143BC" w:rsidRDefault="003143BC" w:rsidP="006677B0">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14:paraId="0B2A1B3D" w14:textId="159B5823" w:rsidR="002540B1" w:rsidRPr="002540B1" w:rsidRDefault="00A523A4" w:rsidP="002540B1">
      <w:pPr>
        <w:pStyle w:val="a0"/>
        <w:rPr>
          <w:lang w:eastAsia="ru-RU"/>
        </w:rPr>
      </w:pPr>
      <w:r>
        <w:rPr>
          <w:lang w:eastAsia="ru-RU"/>
        </w:rPr>
        <w:t>Не применимо</w:t>
      </w:r>
    </w:p>
    <w:p w14:paraId="6963A955" w14:textId="77777777"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14:paraId="2F64083B" w14:textId="4378C902" w:rsidR="00C8596F" w:rsidRPr="00A343D5" w:rsidRDefault="00F42959"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 xml:space="preserve">31 </w:t>
      </w:r>
      <w:r w:rsidR="00795273">
        <w:rPr>
          <w:rFonts w:eastAsia="Arial Unicode MS" w:cs="Times New Roman"/>
          <w:szCs w:val="24"/>
          <w:bdr w:val="nil"/>
          <w:lang w:eastAsia="ru-RU"/>
        </w:rPr>
        <w:t>м</w:t>
      </w:r>
      <w:r w:rsidR="005126D2">
        <w:rPr>
          <w:rFonts w:eastAsia="Arial Unicode MS" w:cs="Times New Roman"/>
          <w:szCs w:val="24"/>
          <w:bdr w:val="nil"/>
          <w:lang w:eastAsia="ru-RU"/>
        </w:rPr>
        <w:t>арт</w:t>
      </w:r>
      <w:r>
        <w:rPr>
          <w:rFonts w:eastAsia="Arial Unicode MS" w:cs="Times New Roman"/>
          <w:szCs w:val="24"/>
          <w:bdr w:val="nil"/>
          <w:lang w:eastAsia="ru-RU"/>
        </w:rPr>
        <w:t>а</w:t>
      </w:r>
      <w:r w:rsidR="008501F4">
        <w:rPr>
          <w:rFonts w:eastAsia="Arial Unicode MS" w:cs="Times New Roman"/>
          <w:szCs w:val="24"/>
          <w:bdr w:val="nil"/>
          <w:lang w:eastAsia="ru-RU"/>
        </w:rPr>
        <w:t xml:space="preserve"> 202</w:t>
      </w:r>
      <w:r>
        <w:rPr>
          <w:rFonts w:eastAsia="Arial Unicode MS" w:cs="Times New Roman"/>
          <w:szCs w:val="24"/>
          <w:bdr w:val="nil"/>
          <w:lang w:eastAsia="ru-RU"/>
        </w:rPr>
        <w:t>2</w:t>
      </w:r>
    </w:p>
    <w:p w14:paraId="2B9C9DEB" w14:textId="77777777"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14:paraId="32631C16" w14:textId="77777777" w:rsidR="002540B1" w:rsidRDefault="00503093" w:rsidP="00A343D5">
      <w:pPr>
        <w:pBdr>
          <w:top w:val="nil"/>
          <w:left w:val="nil"/>
          <w:bottom w:val="nil"/>
          <w:right w:val="nil"/>
          <w:between w:val="nil"/>
          <w:bar w:val="nil"/>
        </w:pBdr>
        <w:tabs>
          <w:tab w:val="left" w:pos="284"/>
        </w:tabs>
        <w:spacing w:after="0"/>
        <w:rPr>
          <w:lang w:eastAsia="ru-RU"/>
        </w:rPr>
      </w:pPr>
      <w:r>
        <w:rPr>
          <w:lang w:eastAsia="ru-RU"/>
        </w:rPr>
        <w:t>Не применимо.</w:t>
      </w:r>
    </w:p>
    <w:p w14:paraId="1F39380F" w14:textId="77777777"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14:paraId="71285689" w14:textId="77777777" w:rsidR="00503093" w:rsidRDefault="00503093" w:rsidP="00503093">
      <w:bookmarkStart w:id="0" w:name="_Toc37932744"/>
      <w:bookmarkStart w:id="1" w:name="_Toc36813072"/>
      <w:bookmarkStart w:id="2" w:name="_Toc36812685"/>
      <w:bookmarkStart w:id="3" w:name="_Toc36812572"/>
      <w:bookmarkStart w:id="4" w:name="_Toc36655609"/>
      <w:r w:rsidRPr="00503093">
        <w:t>Организация экономического сотрудничества и развития (ОЭСР) и Международное агентство возобновляемых источников энергии (IRENA)</w:t>
      </w:r>
    </w:p>
    <w:p w14:paraId="338CC3BA" w14:textId="77777777"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0"/>
      <w:bookmarkEnd w:id="1"/>
      <w:bookmarkEnd w:id="2"/>
      <w:bookmarkEnd w:id="3"/>
      <w:bookmarkEnd w:id="4"/>
      <w:r w:rsidR="00853C09" w:rsidRPr="00162B33">
        <w:rPr>
          <w:b/>
          <w:color w:val="auto"/>
          <w:sz w:val="24"/>
          <w:szCs w:val="24"/>
          <w:lang w:val="ru-RU"/>
        </w:rPr>
        <w:t xml:space="preserve">Данные представлены </w:t>
      </w:r>
    </w:p>
    <w:p w14:paraId="3A3D7716" w14:textId="77777777" w:rsidR="00162B33" w:rsidRPr="00162B33" w:rsidRDefault="00957A62" w:rsidP="00162B33">
      <w:r w:rsidRPr="00162B33">
        <w:t>1.a. Организация</w:t>
      </w:r>
    </w:p>
    <w:p w14:paraId="630E4987" w14:textId="77777777" w:rsidR="00503093" w:rsidRDefault="00503093" w:rsidP="00503093">
      <w:r w:rsidRPr="00503093">
        <w:t>Организация экономического сотрудничества и развития (ОЭСР) и Международное агентство возобновляемых источников энергии (IRENA)</w:t>
      </w:r>
      <w:r>
        <w:t>.</w:t>
      </w:r>
    </w:p>
    <w:p w14:paraId="3627A546" w14:textId="77777777" w:rsidR="00957A62" w:rsidRPr="00A343D5" w:rsidRDefault="00957A62" w:rsidP="00162B33">
      <w:pPr>
        <w:pStyle w:val="MHeader"/>
        <w:rPr>
          <w:b/>
          <w:color w:val="auto"/>
          <w:sz w:val="24"/>
          <w:szCs w:val="24"/>
          <w:lang w:val="ru-RU"/>
        </w:rPr>
      </w:pPr>
      <w:r w:rsidRPr="00A343D5">
        <w:rPr>
          <w:b/>
          <w:color w:val="auto"/>
          <w:sz w:val="24"/>
          <w:szCs w:val="24"/>
          <w:lang w:val="ru-RU"/>
        </w:rPr>
        <w:t xml:space="preserve">2. Определения, </w:t>
      </w:r>
      <w:r w:rsidR="00A41B68" w:rsidRPr="00A343D5">
        <w:rPr>
          <w:b/>
          <w:color w:val="auto"/>
          <w:sz w:val="24"/>
          <w:szCs w:val="24"/>
          <w:lang w:val="ru-RU"/>
        </w:rPr>
        <w:t>понятия</w:t>
      </w:r>
      <w:r w:rsidRPr="00A343D5">
        <w:rPr>
          <w:b/>
          <w:color w:val="auto"/>
          <w:sz w:val="24"/>
          <w:szCs w:val="24"/>
          <w:lang w:val="ru-RU"/>
        </w:rPr>
        <w:t xml:space="preserve"> и классификации</w:t>
      </w:r>
    </w:p>
    <w:p w14:paraId="29FC311E" w14:textId="77777777" w:rsidR="00A41B68" w:rsidRPr="00A343D5" w:rsidRDefault="00957A62"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a</w:t>
      </w:r>
      <w:r w:rsidRPr="00A343D5">
        <w:rPr>
          <w:color w:val="auto"/>
          <w:sz w:val="24"/>
          <w:szCs w:val="24"/>
          <w:lang w:val="ru-RU"/>
        </w:rPr>
        <w:t xml:space="preserve">. Определения и </w:t>
      </w:r>
      <w:r w:rsidR="00A41B68" w:rsidRPr="00A343D5">
        <w:rPr>
          <w:color w:val="auto"/>
          <w:sz w:val="24"/>
          <w:szCs w:val="24"/>
          <w:lang w:val="ru-RU"/>
        </w:rPr>
        <w:t>понятия</w:t>
      </w:r>
    </w:p>
    <w:p w14:paraId="4AF518B3" w14:textId="77777777" w:rsidR="008A3A19" w:rsidRPr="001A0336" w:rsidRDefault="008A3A19" w:rsidP="006677B0">
      <w:pPr>
        <w:pStyle w:val="a0"/>
        <w:spacing w:after="200" w:line="276" w:lineRule="auto"/>
        <w:rPr>
          <w:rFonts w:cs="Times New Roman"/>
          <w:b/>
          <w:szCs w:val="24"/>
        </w:rPr>
      </w:pPr>
      <w:r w:rsidRPr="008A3A19">
        <w:rPr>
          <w:rFonts w:cs="Times New Roman"/>
          <w:b/>
          <w:szCs w:val="24"/>
        </w:rPr>
        <w:t>Определени</w:t>
      </w:r>
      <w:r w:rsidR="001A0336">
        <w:rPr>
          <w:rFonts w:cs="Times New Roman"/>
          <w:b/>
          <w:szCs w:val="24"/>
        </w:rPr>
        <w:t>е</w:t>
      </w:r>
    </w:p>
    <w:p w14:paraId="37C16BD6" w14:textId="77777777" w:rsidR="00C000B0" w:rsidRDefault="00C000B0" w:rsidP="00C000B0">
      <w:r>
        <w:t>Потоки покрываются двумя дополнительными источниками.</w:t>
      </w:r>
    </w:p>
    <w:p w14:paraId="1252BE4C" w14:textId="361FADC7" w:rsidR="00C000B0" w:rsidRDefault="00C000B0" w:rsidP="00C000B0">
      <w:proofErr w:type="gramStart"/>
      <w:r>
        <w:t>ОЭСР: потоки, охватываемые ОЭСР, определяются как все официальные займы, гранты и ин</w:t>
      </w:r>
      <w:r w:rsidR="003A34CE">
        <w:t>вестиции в акционерный капитал</w:t>
      </w:r>
      <w:r w:rsidR="00CC192D">
        <w:t xml:space="preserve">, </w:t>
      </w:r>
      <w:r w:rsidR="00CC192D" w:rsidRPr="00CC192D">
        <w:t xml:space="preserve">полученные странами из списка </w:t>
      </w:r>
      <w:r w:rsidR="00CC192D">
        <w:t xml:space="preserve">реципиентов </w:t>
      </w:r>
      <w:r w:rsidR="00CC192D">
        <w:rPr>
          <w:lang w:val="en-US"/>
        </w:rPr>
        <w:t>ODA</w:t>
      </w:r>
      <w:r w:rsidR="00CC192D" w:rsidRPr="00CC192D">
        <w:t xml:space="preserve"> (Официальн</w:t>
      </w:r>
      <w:r w:rsidR="00CC192D">
        <w:t>ой</w:t>
      </w:r>
      <w:r w:rsidR="00CC192D" w:rsidRPr="00CC192D">
        <w:t xml:space="preserve"> помощ</w:t>
      </w:r>
      <w:r w:rsidR="00CC192D">
        <w:t>и</w:t>
      </w:r>
      <w:r w:rsidR="00CC192D" w:rsidRPr="00CC192D">
        <w:t xml:space="preserve"> в целях развития) </w:t>
      </w:r>
      <w:r w:rsidR="00CC192D">
        <w:rPr>
          <w:lang w:val="en-US"/>
        </w:rPr>
        <w:t>DAC</w:t>
      </w:r>
      <w:r w:rsidR="00CC192D" w:rsidRPr="00CC192D">
        <w:t xml:space="preserve"> (Комитет</w:t>
      </w:r>
      <w:r w:rsidR="00CC192D">
        <w:t>а</w:t>
      </w:r>
      <w:r w:rsidR="00CC192D" w:rsidRPr="00CC192D">
        <w:t xml:space="preserve"> содействия развитию) от правительств иностранных государств и многосторонних агентств</w:t>
      </w:r>
      <w:r>
        <w:t xml:space="preserve">, для целей исследований и разработок в области чистой энергии и производства возобновляемой энергии, в том числе в гибридных системах, извлеченных из </w:t>
      </w:r>
      <w:r w:rsidR="003A34CE">
        <w:t>С</w:t>
      </w:r>
      <w:r>
        <w:t>истемы отчетности</w:t>
      </w:r>
      <w:proofErr w:type="gramEnd"/>
      <w:r>
        <w:t xml:space="preserve"> кредиторов </w:t>
      </w:r>
      <w:r w:rsidR="003A34CE">
        <w:t>(</w:t>
      </w:r>
      <w:r w:rsidR="003A34CE">
        <w:rPr>
          <w:lang w:val="en-US"/>
        </w:rPr>
        <w:t>CRS</w:t>
      </w:r>
      <w:r w:rsidR="003A34CE">
        <w:t xml:space="preserve">) </w:t>
      </w:r>
      <w:r>
        <w:t>ОЭСР/</w:t>
      </w:r>
      <w:r w:rsidR="003A34CE">
        <w:rPr>
          <w:lang w:val="en-US"/>
        </w:rPr>
        <w:t>DAC</w:t>
      </w:r>
      <w:r>
        <w:t xml:space="preserve"> со следующими секторальными кодами:</w:t>
      </w:r>
    </w:p>
    <w:p w14:paraId="0B5B1D04" w14:textId="77777777" w:rsidR="00C000B0" w:rsidRDefault="00C000B0" w:rsidP="00C000B0">
      <w:r>
        <w:lastRenderedPageBreak/>
        <w:t>•</w:t>
      </w:r>
      <w:r>
        <w:tab/>
        <w:t>23210 Выработка энергии, возобновляемые источники энергии - несколько технологий - программы по производству возобновляемых источников энергии, которые нельзя отнести к одной технологии (коды от 23220 до 23280 ниже). Добыча топливной древесины/древесного угля должна быть включена в лесное хозяйство 31261.</w:t>
      </w:r>
    </w:p>
    <w:p w14:paraId="4174C6CB" w14:textId="77777777" w:rsidR="00C000B0" w:rsidRDefault="00C000B0" w:rsidP="00C000B0">
      <w:r>
        <w:t>•</w:t>
      </w:r>
      <w:r>
        <w:tab/>
        <w:t>23220 Гидроэлектростанции - в том числе энергетические речные баржи.</w:t>
      </w:r>
    </w:p>
    <w:p w14:paraId="37FB3742" w14:textId="20AE07BC" w:rsidR="00C000B0" w:rsidRDefault="00C000B0" w:rsidP="00C000B0">
      <w:r>
        <w:t>•</w:t>
      </w:r>
      <w:r>
        <w:tab/>
        <w:t xml:space="preserve">23230 </w:t>
      </w:r>
      <w:r w:rsidR="00026A9E" w:rsidRPr="00026A9E">
        <w:t>Солнечная энергия для централизованных сетей</w:t>
      </w:r>
    </w:p>
    <w:p w14:paraId="3B83ACD4" w14:textId="77777777" w:rsidR="00C000B0" w:rsidRDefault="00C000B0" w:rsidP="00C000B0">
      <w:r>
        <w:t>•</w:t>
      </w:r>
      <w:r>
        <w:tab/>
        <w:t>23240 Энергия ветра - энергия ветра для подъема воды и выработки электроэнергии.</w:t>
      </w:r>
    </w:p>
    <w:p w14:paraId="458A104A" w14:textId="77777777" w:rsidR="00C000B0" w:rsidRDefault="00C000B0" w:rsidP="00C000B0">
      <w:r>
        <w:t>•</w:t>
      </w:r>
      <w:r>
        <w:tab/>
        <w:t>23250 Морская энергия - включая конверсию тепловой энергии океана, приливные и волновые мощности.</w:t>
      </w:r>
    </w:p>
    <w:p w14:paraId="5C9FC777" w14:textId="77777777" w:rsidR="00C000B0" w:rsidRDefault="00C000B0" w:rsidP="00C000B0">
      <w:r>
        <w:t>•</w:t>
      </w:r>
      <w:r>
        <w:tab/>
        <w:t>23260 Геотермальная энергия - Использование геотермальной энергии для выработки электроэнергии или непосредственно в качестве тепла для сельского хозяйства и т.д.</w:t>
      </w:r>
    </w:p>
    <w:p w14:paraId="78B3FF3D" w14:textId="77777777" w:rsidR="00C000B0" w:rsidRDefault="00C000B0" w:rsidP="00C000B0">
      <w:r>
        <w:t>•</w:t>
      </w:r>
      <w:r>
        <w:tab/>
        <w:t xml:space="preserve">23270 - </w:t>
      </w:r>
      <w:proofErr w:type="spellStart"/>
      <w:r>
        <w:t>Биотопливные</w:t>
      </w:r>
      <w:proofErr w:type="spellEnd"/>
      <w:r>
        <w:t xml:space="preserve"> электростанции. Использование твердых веществ и жидкостей, полученных из биомассы для прямой выработки электроэнергии. </w:t>
      </w:r>
      <w:proofErr w:type="gramStart"/>
      <w:r>
        <w:t>Также включает биогазы из анаэробной ферментации (например, свалочный газ, отстойник сточных вод, ферментация энергетических культур и навоза) и термические процессы (также известные как синтез-газ); (бытовые отходы и отходы от компаний и общественных служб, которые напоминают бытовые отходы, собранные на установках, специально предназначенных для их утилизации с извлечением горючих жидкостей, газов или тепла).</w:t>
      </w:r>
      <w:proofErr w:type="gramEnd"/>
      <w:r>
        <w:t xml:space="preserve"> См. код 23360 для невозобновляемых электростанций с отходами.</w:t>
      </w:r>
    </w:p>
    <w:p w14:paraId="144BBE46" w14:textId="2164E1D2" w:rsidR="003F248B" w:rsidRDefault="003F248B" w:rsidP="003F248B">
      <w:pPr>
        <w:pStyle w:val="a0"/>
      </w:pPr>
      <w:r>
        <w:t>•</w:t>
      </w:r>
      <w:r>
        <w:tab/>
        <w:t>23410</w:t>
      </w:r>
      <w:r w:rsidR="00120FDD">
        <w:t xml:space="preserve"> </w:t>
      </w:r>
      <w:r>
        <w:t xml:space="preserve"> Гибридные энергетические электростанции</w:t>
      </w:r>
    </w:p>
    <w:p w14:paraId="3C214510" w14:textId="7D11728F" w:rsidR="003F248B" w:rsidRPr="003F248B" w:rsidRDefault="003F248B" w:rsidP="003F248B">
      <w:pPr>
        <w:pStyle w:val="a0"/>
      </w:pPr>
      <w:r>
        <w:t xml:space="preserve">• </w:t>
      </w:r>
      <w:r>
        <w:tab/>
        <w:t>23631</w:t>
      </w:r>
      <w:r w:rsidR="00120FDD">
        <w:t xml:space="preserve"> </w:t>
      </w:r>
      <w:r>
        <w:t xml:space="preserve"> Передача и распределение электроэнергии (изолированные мини-сети)</w:t>
      </w:r>
    </w:p>
    <w:p w14:paraId="2C53AD4A" w14:textId="77777777" w:rsidR="00C000B0" w:rsidRDefault="00C000B0" w:rsidP="00C000B0">
      <w:r>
        <w:t>Исследования и разработки технологий и мер по повышению энергоэффективности зафиксированы в кодеке 23182 сектора CRS по исследованиям в области энергетики. Вышеуказанные потоки также включают техническую помощь, предоставляемую для поддержки производства, исследований и разработок, как определено выше.</w:t>
      </w:r>
    </w:p>
    <w:p w14:paraId="212BB98A" w14:textId="384EC681" w:rsidR="00C000B0" w:rsidRDefault="00C000B0" w:rsidP="00C000B0">
      <w:r>
        <w:t xml:space="preserve">IRENA: </w:t>
      </w:r>
      <w:proofErr w:type="gramStart"/>
      <w:r>
        <w:t>Потоки, покрываемые IRENA, определяются как все дополнительные займы, гранты и инвестиции в акционерный капитал, полученные развивающимися странами (определенными как страны в развивающихся регионах, перечисленные в составе регионов ООН M49) от всех иностранных правительств, многосторонних агентств и дополнительного развития (включая экспортные кредиты, если таковые имеются) для целей исследований и разработок в области чистой энергии и производства возобновляемой энергии, в том числе</w:t>
      </w:r>
      <w:proofErr w:type="gramEnd"/>
      <w:r>
        <w:t xml:space="preserve"> в гибридных системах. Эти дополнительные потоки охватывают те же технологии и другие виды деятельности (исследования и разработки, техническая помощь и т.д.), как указано выше, и исключают все потоки, извлеченные из CRS ОЭСР/</w:t>
      </w:r>
      <w:r w:rsidR="005A3F2B">
        <w:rPr>
          <w:lang w:val="en-US"/>
        </w:rPr>
        <w:t>DAC</w:t>
      </w:r>
      <w:r>
        <w:t>.</w:t>
      </w:r>
    </w:p>
    <w:p w14:paraId="2579ABD1" w14:textId="77777777" w:rsidR="00407E4E" w:rsidRPr="00A343D5" w:rsidRDefault="00407E4E" w:rsidP="00C013D8">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Единица измерения</w:t>
      </w:r>
    </w:p>
    <w:p w14:paraId="58B8086A" w14:textId="1DD98F01" w:rsidR="00707E86" w:rsidRPr="00F03521" w:rsidRDefault="00D817DF" w:rsidP="00F03521">
      <w:pPr>
        <w:pStyle w:val="a0"/>
        <w:rPr>
          <w:lang w:eastAsia="en-GB"/>
        </w:rPr>
      </w:pPr>
      <w:r w:rsidRPr="00D817DF">
        <w:rPr>
          <w:rFonts w:eastAsia="Times New Roman" w:cs="Times New Roman"/>
          <w:szCs w:val="24"/>
          <w:lang w:eastAsia="en-GB"/>
        </w:rPr>
        <w:t>Миллион</w:t>
      </w:r>
      <w:r>
        <w:rPr>
          <w:rFonts w:eastAsia="Times New Roman" w:cs="Times New Roman"/>
          <w:szCs w:val="24"/>
          <w:lang w:eastAsia="en-GB"/>
        </w:rPr>
        <w:t>ы</w:t>
      </w:r>
      <w:r w:rsidRPr="00D817DF">
        <w:rPr>
          <w:rFonts w:eastAsia="Times New Roman" w:cs="Times New Roman"/>
          <w:szCs w:val="24"/>
          <w:lang w:eastAsia="en-GB"/>
        </w:rPr>
        <w:t xml:space="preserve"> долларов США (USD) в постоянных ценах за базовый год. Базовый год для постоянных цен и обменных курсов обновляется каждый год и обычно отстает от цикла публикации на два года</w:t>
      </w:r>
      <w:proofErr w:type="gramStart"/>
      <w:r w:rsidRPr="00D817DF">
        <w:rPr>
          <w:rFonts w:eastAsia="Times New Roman" w:cs="Times New Roman"/>
          <w:szCs w:val="24"/>
          <w:lang w:eastAsia="en-GB"/>
        </w:rPr>
        <w:t>.</w:t>
      </w:r>
      <w:proofErr w:type="gramEnd"/>
      <w:r w:rsidRPr="00D817DF">
        <w:rPr>
          <w:rFonts w:eastAsia="Times New Roman" w:cs="Times New Roman"/>
          <w:szCs w:val="24"/>
          <w:lang w:eastAsia="en-GB"/>
        </w:rPr>
        <w:t xml:space="preserve"> (</w:t>
      </w:r>
      <w:proofErr w:type="gramStart"/>
      <w:r w:rsidRPr="00D817DF">
        <w:rPr>
          <w:rFonts w:eastAsia="Times New Roman" w:cs="Times New Roman"/>
          <w:szCs w:val="24"/>
          <w:lang w:eastAsia="en-GB"/>
        </w:rPr>
        <w:t>н</w:t>
      </w:r>
      <w:proofErr w:type="gramEnd"/>
      <w:r w:rsidRPr="00D817DF">
        <w:rPr>
          <w:rFonts w:eastAsia="Times New Roman" w:cs="Times New Roman"/>
          <w:szCs w:val="24"/>
          <w:lang w:eastAsia="en-GB"/>
        </w:rPr>
        <w:t>апример, в цикле 2020 года будут представлены данные о постоянных ценах 2018 года)</w:t>
      </w:r>
    </w:p>
    <w:p w14:paraId="2727B608" w14:textId="77777777" w:rsidR="000A229E" w:rsidRDefault="000A229E" w:rsidP="00A343D5">
      <w:pPr>
        <w:pStyle w:val="MHeader2"/>
        <w:spacing w:line="276" w:lineRule="auto"/>
        <w:rPr>
          <w:b/>
          <w:color w:val="auto"/>
          <w:sz w:val="24"/>
          <w:szCs w:val="24"/>
          <w:lang w:val="ru-RU"/>
        </w:rPr>
      </w:pPr>
      <w:r w:rsidRPr="00A343D5">
        <w:rPr>
          <w:color w:val="auto"/>
          <w:sz w:val="24"/>
          <w:szCs w:val="24"/>
          <w:lang w:val="ru-RU"/>
        </w:rPr>
        <w:lastRenderedPageBreak/>
        <w:t>2.</w:t>
      </w:r>
      <w:r w:rsidRPr="00A343D5">
        <w:rPr>
          <w:color w:val="auto"/>
          <w:sz w:val="24"/>
          <w:szCs w:val="24"/>
        </w:rPr>
        <w:t>c</w:t>
      </w:r>
      <w:r w:rsidRPr="00A343D5">
        <w:rPr>
          <w:color w:val="auto"/>
          <w:sz w:val="24"/>
          <w:szCs w:val="24"/>
          <w:lang w:val="ru-RU"/>
        </w:rPr>
        <w:t xml:space="preserve">. </w:t>
      </w:r>
      <w:r w:rsidRPr="00A343D5">
        <w:rPr>
          <w:b/>
          <w:color w:val="auto"/>
          <w:sz w:val="24"/>
          <w:szCs w:val="24"/>
          <w:lang w:val="ru-RU"/>
        </w:rPr>
        <w:t>Классификации</w:t>
      </w:r>
    </w:p>
    <w:p w14:paraId="397F1D7C" w14:textId="77777777" w:rsidR="00F532A2" w:rsidRPr="00A343D5" w:rsidRDefault="00F532A2" w:rsidP="00F532A2">
      <w:r w:rsidRPr="00F532A2">
        <w:t>Определение и классификация возобновляемых технологий соответствует Стандартной международной классификации энергетических продуктов ООН (SIEC). Определения других понятий приведены выше.</w:t>
      </w:r>
    </w:p>
    <w:p w14:paraId="5C9AE9F3" w14:textId="77777777"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14:paraId="3E0DE931" w14:textId="77777777" w:rsidR="000A229E" w:rsidRDefault="000A229E" w:rsidP="00A343D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14:paraId="36B7D571" w14:textId="53D88FC4" w:rsidR="00BD28B9" w:rsidRPr="00BD28B9" w:rsidRDefault="00BD28B9" w:rsidP="00BD28B9">
      <w:r w:rsidRPr="00BD28B9">
        <w:t xml:space="preserve">ОЭСР/КСР собирает данные о потоках официальных и частных ресурсов с 1960 года на совокупном уровне и 1973 год на уровне деятельности через систему отчетности кредиторов (данные о CRS считаются завершенными с 1995 года для обязательств на уровне деятельности и в 2002 году для выплат). Данные сообщаются в ежегодном календарном году статистическими репортерами в национальных администрациях (агентства по оказанию помощи, министерства иностранных дел или финансов и </w:t>
      </w:r>
      <w:bookmarkStart w:id="5" w:name="_GoBack"/>
      <w:r w:rsidR="007A6B26" w:rsidRPr="00BD28B9">
        <w:t>т. д.</w:t>
      </w:r>
      <w:r w:rsidR="007A6B26">
        <w:t>)</w:t>
      </w:r>
      <w:bookmarkEnd w:id="5"/>
    </w:p>
    <w:p w14:paraId="45842552" w14:textId="0C41D016" w:rsidR="00BD28B9" w:rsidRDefault="00BD28B9" w:rsidP="00BD28B9">
      <w:r w:rsidRPr="00BD28B9">
        <w:t>Информация IRENA о финансовых потоках из государственных источников в поддержку возобновляемых источников энергии содержится в Информационной базе данных об инвестициях в возобновляемые источники энергии IRENA. IRENA собирает эти данные из широкого спектра общедоступных источников, включая базы данных и годовые отчеты всех основных финансовых институтов развития и 20 других двусторонних и многосторонних учреждений, инвестирующих в возобновляемые источники энергии. Ежегодная база данных обновляется и (</w:t>
      </w:r>
      <w:proofErr w:type="gramStart"/>
      <w:r w:rsidRPr="00BD28B9">
        <w:t>на конец</w:t>
      </w:r>
      <w:proofErr w:type="gramEnd"/>
      <w:r w:rsidRPr="00BD28B9">
        <w:t xml:space="preserve"> 20</w:t>
      </w:r>
      <w:r w:rsidR="007A6B26">
        <w:t>21</w:t>
      </w:r>
      <w:r w:rsidRPr="00BD28B9">
        <w:t xml:space="preserve"> года) охватывает инвестиции в общественную возобновляемую энергию, поступающие в </w:t>
      </w:r>
      <w:r w:rsidR="007A6B26">
        <w:t>41</w:t>
      </w:r>
      <w:r w:rsidRPr="00BD28B9">
        <w:t xml:space="preserve"> развит</w:t>
      </w:r>
      <w:r w:rsidR="007A6B26">
        <w:t>ую</w:t>
      </w:r>
      <w:r w:rsidRPr="00BD28B9">
        <w:t xml:space="preserve"> стран</w:t>
      </w:r>
      <w:r w:rsidR="007A6B26">
        <w:t>у</w:t>
      </w:r>
      <w:r w:rsidRPr="00BD28B9">
        <w:t xml:space="preserve"> и 10</w:t>
      </w:r>
      <w:r w:rsidR="007A6B26">
        <w:t>9</w:t>
      </w:r>
      <w:r w:rsidRPr="00BD28B9">
        <w:t xml:space="preserve"> развивающиеся страны на период 200</w:t>
      </w:r>
      <w:r w:rsidR="00A3418B">
        <w:t>0</w:t>
      </w:r>
      <w:r w:rsidRPr="00BD28B9">
        <w:t>-20</w:t>
      </w:r>
      <w:r w:rsidR="00C16898">
        <w:t>20</w:t>
      </w:r>
      <w:r w:rsidRPr="00BD28B9">
        <w:t xml:space="preserve"> годов. По мере того, как новые финансируемые государством финансовые учреждения начнут инвестировать в возобновляемые источники энергии, база данных IRENA будет расширяться, чтобы включить этих новых инвесторов с течением времени.</w:t>
      </w:r>
    </w:p>
    <w:p w14:paraId="79988963" w14:textId="77777777" w:rsidR="00995788" w:rsidRPr="00A343D5" w:rsidRDefault="000A229E" w:rsidP="00BD28B9">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14:paraId="6BDB898F" w14:textId="32139C05" w:rsidR="00A3418B" w:rsidRDefault="00A3418B" w:rsidP="00A3418B">
      <w:r>
        <w:t>См.</w:t>
      </w:r>
      <w:r w:rsidR="005B7EBB" w:rsidRPr="00481994">
        <w:t xml:space="preserve"> </w:t>
      </w:r>
      <w:r>
        <w:t>выше</w:t>
      </w:r>
    </w:p>
    <w:p w14:paraId="603910AF" w14:textId="77777777" w:rsidR="009E707C" w:rsidRPr="00536608" w:rsidRDefault="009E707C" w:rsidP="00696745">
      <w:pPr>
        <w:pStyle w:val="MHeader"/>
        <w:rPr>
          <w:b/>
          <w:color w:val="auto"/>
          <w:sz w:val="24"/>
          <w:lang w:val="ru-RU"/>
        </w:rPr>
      </w:pPr>
      <w:r w:rsidRPr="00536608">
        <w:rPr>
          <w:b/>
          <w:color w:val="auto"/>
          <w:sz w:val="24"/>
          <w:lang w:val="ru-RU"/>
        </w:rPr>
        <w:t>3.</w:t>
      </w:r>
      <w:r w:rsidR="00900860" w:rsidRPr="00536608">
        <w:rPr>
          <w:b/>
          <w:color w:val="auto"/>
          <w:sz w:val="24"/>
          <w:lang w:val="ru-RU"/>
        </w:rPr>
        <w:t>с</w:t>
      </w:r>
      <w:r w:rsidRPr="00536608">
        <w:rPr>
          <w:b/>
          <w:color w:val="auto"/>
          <w:sz w:val="24"/>
          <w:lang w:val="ru-RU"/>
        </w:rPr>
        <w:t>.</w:t>
      </w:r>
      <w:r w:rsidR="00900860" w:rsidRPr="00536608">
        <w:rPr>
          <w:b/>
          <w:color w:val="auto"/>
          <w:sz w:val="24"/>
          <w:lang w:val="ru-RU"/>
        </w:rPr>
        <w:t xml:space="preserve"> </w:t>
      </w:r>
      <w:r w:rsidRPr="00536608">
        <w:rPr>
          <w:b/>
          <w:color w:val="auto"/>
          <w:sz w:val="24"/>
          <w:lang w:val="ru-RU"/>
        </w:rPr>
        <w:t>Календарь сбора данных</w:t>
      </w:r>
    </w:p>
    <w:p w14:paraId="0841EC69" w14:textId="77777777" w:rsidR="00A3418B" w:rsidRDefault="00A3418B" w:rsidP="00A3418B">
      <w:r w:rsidRPr="00A3418B">
        <w:t>Данные за год собираются в течение следующего года.</w:t>
      </w:r>
    </w:p>
    <w:p w14:paraId="64171BA9" w14:textId="77777777" w:rsidR="000A229E" w:rsidRPr="00A343D5" w:rsidRDefault="009E707C" w:rsidP="00C1236A">
      <w:pPr>
        <w:pStyle w:val="MHeader2"/>
        <w:spacing w:line="276" w:lineRule="auto"/>
        <w:rPr>
          <w:color w:val="auto"/>
          <w:sz w:val="24"/>
          <w:szCs w:val="24"/>
          <w:lang w:val="ru-RU"/>
        </w:rPr>
      </w:pPr>
      <w:r>
        <w:rPr>
          <w:color w:val="auto"/>
          <w:sz w:val="24"/>
          <w:szCs w:val="24"/>
          <w:lang w:val="ru-RU"/>
        </w:rPr>
        <w:t>3</w:t>
      </w:r>
      <w:r w:rsidR="000A229E" w:rsidRPr="00A343D5">
        <w:rPr>
          <w:color w:val="auto"/>
          <w:sz w:val="24"/>
          <w:szCs w:val="24"/>
          <w:lang w:val="ru-RU"/>
        </w:rPr>
        <w:t>.</w:t>
      </w:r>
      <w:r w:rsidR="000A229E" w:rsidRPr="00A343D5">
        <w:rPr>
          <w:color w:val="auto"/>
          <w:sz w:val="24"/>
          <w:szCs w:val="24"/>
        </w:rPr>
        <w:t>d</w:t>
      </w:r>
      <w:r w:rsidR="003A389C" w:rsidRPr="00A343D5">
        <w:rPr>
          <w:color w:val="auto"/>
          <w:sz w:val="24"/>
          <w:szCs w:val="24"/>
          <w:lang w:val="ru-RU"/>
        </w:rPr>
        <w:t>.</w:t>
      </w:r>
      <w:r w:rsidR="000A229E" w:rsidRPr="00A343D5">
        <w:rPr>
          <w:b/>
          <w:color w:val="auto"/>
          <w:sz w:val="24"/>
          <w:szCs w:val="24"/>
          <w:lang w:val="ru-RU"/>
        </w:rPr>
        <w:t>Календарь выпуска данных</w:t>
      </w:r>
    </w:p>
    <w:p w14:paraId="658CFFFA" w14:textId="28B4D667" w:rsidR="0008593B" w:rsidRDefault="0008593B" w:rsidP="0008593B">
      <w:r w:rsidRPr="0008593B">
        <w:t xml:space="preserve">Данные </w:t>
      </w:r>
      <w:r w:rsidR="00B53AB9">
        <w:rPr>
          <w:lang w:val="en-US"/>
        </w:rPr>
        <w:t>DAC</w:t>
      </w:r>
      <w:r w:rsidRPr="0008593B">
        <w:t xml:space="preserve"> ОЭСР обновляются четыре раза в год, с полными и подробными данными, опубликованными на конец года (охватывающие предыдущий год). Инвестиционные данные IRENA доступны на конец года (по сравнению с предыдущим годом).</w:t>
      </w:r>
    </w:p>
    <w:p w14:paraId="6D451500" w14:textId="77777777" w:rsidR="000A229E" w:rsidRPr="00A343D5" w:rsidRDefault="000A229E" w:rsidP="00C1236A">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14:paraId="0E439285" w14:textId="4E15DDEB" w:rsidR="00BF42F4" w:rsidRDefault="00BF42F4" w:rsidP="00BF42F4">
      <w:r w:rsidRPr="00BF42F4">
        <w:t>См.</w:t>
      </w:r>
      <w:r w:rsidR="00A30A0A" w:rsidRPr="00481994">
        <w:t xml:space="preserve"> </w:t>
      </w:r>
      <w:r w:rsidRPr="00BF42F4">
        <w:t>выше</w:t>
      </w:r>
    </w:p>
    <w:p w14:paraId="5158B2FC" w14:textId="77777777" w:rsidR="000A229E" w:rsidRPr="00A343D5" w:rsidRDefault="000A229E" w:rsidP="00C96C28">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14:paraId="52D75000" w14:textId="77777777" w:rsidR="00BF42F4" w:rsidRDefault="00BF42F4" w:rsidP="00BF42F4">
      <w:r w:rsidRPr="00BF42F4">
        <w:t>Организация экономического сотрудничества и развития (ОЭСР) и Международное агентство возобновляемых источников энергии (IRENA)</w:t>
      </w:r>
    </w:p>
    <w:p w14:paraId="292503C4" w14:textId="77777777" w:rsidR="000A229E" w:rsidRPr="00A343D5" w:rsidRDefault="000A229E" w:rsidP="00C1236A">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14:paraId="1A07FFDB" w14:textId="68C9BB8C" w:rsidR="00DE0C01" w:rsidRPr="009273B4" w:rsidRDefault="00DE0C01" w:rsidP="00DE0C01">
      <w:proofErr w:type="gramStart"/>
      <w:r w:rsidRPr="009273B4">
        <w:lastRenderedPageBreak/>
        <w:t xml:space="preserve">В Мандате </w:t>
      </w:r>
      <w:r w:rsidR="00A30A0A">
        <w:rPr>
          <w:lang w:val="en-US"/>
        </w:rPr>
        <w:t>DAC</w:t>
      </w:r>
      <w:r w:rsidRPr="009273B4">
        <w:t xml:space="preserve"> ОЭСР </w:t>
      </w:r>
      <w:r>
        <w:t>подчеркивается</w:t>
      </w:r>
      <w:r w:rsidRPr="009273B4">
        <w:t xml:space="preserve">, что общая цель </w:t>
      </w:r>
      <w:r w:rsidR="004735FB">
        <w:rPr>
          <w:lang w:val="en-US"/>
        </w:rPr>
        <w:t>DAC</w:t>
      </w:r>
      <w:r w:rsidRPr="009273B4">
        <w:t xml:space="preserve"> на период 2018-2022 годов заключается в содействии сотрудничеству в реализации Повестки дня в области устойчивого развития на период до 2030 года, включая устойчив</w:t>
      </w:r>
      <w:r>
        <w:t>ый и</w:t>
      </w:r>
      <w:r w:rsidRPr="009273B4">
        <w:t xml:space="preserve"> инклюзивн</w:t>
      </w:r>
      <w:r>
        <w:t>ый</w:t>
      </w:r>
      <w:r w:rsidRPr="009273B4">
        <w:t xml:space="preserve"> экономическую рост, искоренение нищеты, повышение уровня жизни в развивающихся странах и</w:t>
      </w:r>
      <w:r>
        <w:t xml:space="preserve"> стремление</w:t>
      </w:r>
      <w:r w:rsidRPr="009273B4">
        <w:t xml:space="preserve"> к будущему, в котором ни одна страна не будет зависеть от</w:t>
      </w:r>
      <w:r>
        <w:t xml:space="preserve"> посторонней</w:t>
      </w:r>
      <w:r w:rsidRPr="009273B4">
        <w:t xml:space="preserve"> помощи.</w:t>
      </w:r>
      <w:proofErr w:type="gramEnd"/>
    </w:p>
    <w:p w14:paraId="3FEF2AF5" w14:textId="77777777" w:rsidR="00DE0C01" w:rsidRPr="009273B4" w:rsidRDefault="00DE0C01" w:rsidP="00DE0C01">
      <w:r w:rsidRPr="009273B4">
        <w:t>Для достижения этой всеобъемлющей цели Комитет</w:t>
      </w:r>
      <w:r>
        <w:t xml:space="preserve"> будет</w:t>
      </w:r>
      <w:r w:rsidRPr="009273B4">
        <w:t>:</w:t>
      </w:r>
    </w:p>
    <w:p w14:paraId="554FCDE6" w14:textId="325532DE" w:rsidR="00DE0C01" w:rsidRPr="009273B4" w:rsidRDefault="00DE0C01" w:rsidP="001A214C">
      <w:pPr>
        <w:pStyle w:val="ac"/>
        <w:numPr>
          <w:ilvl w:val="0"/>
          <w:numId w:val="4"/>
        </w:numPr>
      </w:pPr>
      <w:r w:rsidRPr="00DE0C01">
        <w:t xml:space="preserve">прозрачным образом </w:t>
      </w:r>
      <w:r>
        <w:t xml:space="preserve">контролировать, оценивать и </w:t>
      </w:r>
      <w:r w:rsidRPr="009273B4">
        <w:t>продвигать предоставление ресурсов, под</w:t>
      </w:r>
      <w:r>
        <w:t>держивающих устойчивое развитие</w:t>
      </w:r>
      <w:r w:rsidRPr="009273B4">
        <w:t xml:space="preserve"> путем сбора и анализа данных и информации о</w:t>
      </w:r>
      <w:r>
        <w:t>б</w:t>
      </w:r>
      <w:r w:rsidRPr="009273B4">
        <w:t xml:space="preserve"> </w:t>
      </w:r>
      <w:r w:rsidR="00346974">
        <w:rPr>
          <w:lang w:val="en-US"/>
        </w:rPr>
        <w:t>ODA</w:t>
      </w:r>
      <w:r w:rsidRPr="009273B4">
        <w:t xml:space="preserve"> и других официальных и частных потоках.</w:t>
      </w:r>
    </w:p>
    <w:p w14:paraId="719AC2AC" w14:textId="77777777" w:rsidR="00DE0C01" w:rsidRPr="00481994" w:rsidRDefault="00DE0C01" w:rsidP="00DE0C01">
      <w:proofErr w:type="gramStart"/>
      <w:r w:rsidRPr="009273B4">
        <w:t xml:space="preserve">Имея полномочия от стран по всему миру, IRENA поощряет правительства к принятию стимулирующей политики для инвестиций в возобновляемые источники энергии, предоставляет практические инструменты и рекомендации по политике для ускорения внедрения возобновляемых источников энергии, а также способствует обмену знаниями и передаче технологий для обеспечения экологически чистой и устойчивой энергии для растущего </w:t>
      </w:r>
      <w:r>
        <w:t>населения мира</w:t>
      </w:r>
      <w:r w:rsidRPr="009273B4">
        <w:t>.</w:t>
      </w:r>
      <w:proofErr w:type="gramEnd"/>
      <w:r w:rsidRPr="009273B4">
        <w:t xml:space="preserve"> Сбор официальной статистики (включая потоки международных государственных финансов) соответствует этим целям.</w:t>
      </w:r>
    </w:p>
    <w:p w14:paraId="37EF6899" w14:textId="7390D181" w:rsidR="00A30A0A" w:rsidRPr="00481994" w:rsidRDefault="00A30A0A" w:rsidP="00A30A0A">
      <w:pPr>
        <w:pStyle w:val="MHeader"/>
        <w:rPr>
          <w:b/>
          <w:color w:val="auto"/>
          <w:sz w:val="24"/>
          <w:szCs w:val="24"/>
          <w:lang w:val="ru-RU"/>
        </w:rPr>
      </w:pPr>
      <w:r w:rsidRPr="00A343D5">
        <w:rPr>
          <w:b/>
          <w:color w:val="auto"/>
          <w:sz w:val="24"/>
          <w:szCs w:val="24"/>
          <w:lang w:val="ru-RU"/>
        </w:rPr>
        <w:t>4. Иные методологические соображения</w:t>
      </w:r>
    </w:p>
    <w:p w14:paraId="592B43AF" w14:textId="77777777" w:rsidR="002E15F9" w:rsidRDefault="002E15F9" w:rsidP="00A343D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14:paraId="6BD06C82" w14:textId="60F575FD" w:rsidR="00DE0C01" w:rsidRPr="00DE0C01" w:rsidRDefault="00DE0C01" w:rsidP="00DE0C01">
      <w:r w:rsidRPr="00DE0C01">
        <w:t xml:space="preserve">Общие потоки </w:t>
      </w:r>
      <w:r w:rsidR="00346974" w:rsidRPr="00346974">
        <w:t>Официальная помощь в целях развития (</w:t>
      </w:r>
      <w:r w:rsidR="00346974">
        <w:rPr>
          <w:lang w:val="en-US"/>
        </w:rPr>
        <w:t>ODA</w:t>
      </w:r>
      <w:r w:rsidR="00346974" w:rsidRPr="00346974">
        <w:t>)</w:t>
      </w:r>
      <w:r w:rsidRPr="00DE0C01">
        <w:t xml:space="preserve"> и </w:t>
      </w:r>
      <w:r w:rsidR="00346974" w:rsidRPr="00346974">
        <w:t>другие официальные потоки (</w:t>
      </w:r>
      <w:r w:rsidR="00346974">
        <w:rPr>
          <w:lang w:val="en-US"/>
        </w:rPr>
        <w:t>OOF</w:t>
      </w:r>
      <w:r w:rsidR="00346974" w:rsidRPr="00346974">
        <w:t>)</w:t>
      </w:r>
      <w:r w:rsidRPr="00DE0C01">
        <w:t xml:space="preserve"> в развивающиеся страны определяют количественные оценки государственных финансовых усилий (за исключением экспортных кредитов), которые доноры предоставляют развивающимся странам для возобновляемых источников энергии. Дополнительные потоки (из базы данных IRENA) фиксируют потоки получателей, не являющихся ODA, в развивающихся регионах, потоки из стран и учреждений, которые в настоящее время не передают </w:t>
      </w:r>
      <w:r w:rsidR="0016481E">
        <w:rPr>
          <w:lang w:val="en-US"/>
        </w:rPr>
        <w:t>DAC</w:t>
      </w:r>
      <w:r w:rsidRPr="00DE0C01">
        <w:t xml:space="preserve"> и некоторые другие типы потоков, такие как экспортные кредиты.</w:t>
      </w:r>
    </w:p>
    <w:p w14:paraId="35DFB28F" w14:textId="77777777" w:rsidR="00DE0C01" w:rsidRPr="00A343D5" w:rsidRDefault="00DE0C01" w:rsidP="00DE0C01">
      <w:r w:rsidRPr="00DE0C01">
        <w:t>Доступ к энергии является одним из основных препятствий на пути развития во многих развивающихся странах, и, начиная с относительно низкой базы, ожидается, что спрос на энергию будет расти очень быстро во многих из этих стран в будущем. Это дает возможность развивающимся странам использовать чистые и возобновляемые технологии для удовлетворения своих будущих энергетических потребностей, если они смогут получить доступ к соответствующим технологиям и экспертным знаниям. Показатель является подходящей мерой международной поддержки, предоставляемой развивающимся странам для доступа к этим технологиям.</w:t>
      </w:r>
    </w:p>
    <w:p w14:paraId="61D1F130" w14:textId="77777777" w:rsidR="002E15F9" w:rsidRPr="00A343D5" w:rsidRDefault="002E15F9" w:rsidP="00C96C28">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14:paraId="4E1EA517" w14:textId="77777777" w:rsidR="006763D1" w:rsidRPr="002E07D4" w:rsidRDefault="006763D1" w:rsidP="006763D1">
      <w:r w:rsidRPr="002E07D4">
        <w:t xml:space="preserve">Данные в Системе отчетности кредиторов доступны с 1973 года. Однако покрытие данных считается завершенным с 1995 года для обязательств на уровне деятельности и в 2002 году для выплат. В настоящее время потоки исследований и разработок в области чистой энергии лишь частично покрываются базой данных, и некоторые другие области </w:t>
      </w:r>
      <w:r w:rsidRPr="002E07D4">
        <w:lastRenderedPageBreak/>
        <w:t>(например, внесетевое электроснабжение, инвестиции в улучшенные проекты кулинарии) могут быть покрыты лишь частично.</w:t>
      </w:r>
    </w:p>
    <w:p w14:paraId="08B0375B" w14:textId="77777777" w:rsidR="006763D1" w:rsidRDefault="006763D1" w:rsidP="006763D1">
      <w:r w:rsidRPr="002E07D4">
        <w:t>База данных IRENA в настоящее время охватывает только финансовые учреждения, которые вложили в возобновляемые источники энергии в общей сложности 400 миллионов долларов США или более. Процесс непрерывного совершенствования базы данных включает в себя проверку данных по данным, полученным многосторонними банками развития для отчетности по вопросам климата, и путем сопоставления данных с другими независимыми отчетами международными агентствами по финансированию развития.</w:t>
      </w:r>
    </w:p>
    <w:p w14:paraId="6B4842EC" w14:textId="77777777" w:rsidR="00D273C6" w:rsidRDefault="002E15F9" w:rsidP="006763D1">
      <w:pPr>
        <w:pStyle w:val="MHeader2"/>
        <w:spacing w:line="276" w:lineRule="auto"/>
        <w:rPr>
          <w:color w:val="auto"/>
          <w:sz w:val="24"/>
          <w:szCs w:val="24"/>
          <w:lang w:val="ru-RU"/>
        </w:rPr>
      </w:pPr>
      <w:r w:rsidRPr="008501F4">
        <w:rPr>
          <w:color w:val="auto"/>
          <w:sz w:val="24"/>
          <w:szCs w:val="24"/>
          <w:lang w:val="ru-RU"/>
        </w:rPr>
        <w:t>4.</w:t>
      </w:r>
      <w:r w:rsidRPr="00A343D5">
        <w:rPr>
          <w:color w:val="auto"/>
          <w:sz w:val="24"/>
          <w:szCs w:val="24"/>
        </w:rPr>
        <w:t>c</w:t>
      </w:r>
      <w:r w:rsidRPr="008501F4">
        <w:rPr>
          <w:color w:val="auto"/>
          <w:sz w:val="24"/>
          <w:szCs w:val="24"/>
          <w:lang w:val="ru-RU"/>
        </w:rPr>
        <w:t xml:space="preserve">. </w:t>
      </w:r>
      <w:r w:rsidR="00CA1CB1" w:rsidRPr="00A343D5">
        <w:rPr>
          <w:b/>
          <w:color w:val="auto"/>
          <w:sz w:val="24"/>
          <w:szCs w:val="24"/>
          <w:lang w:val="ru-RU"/>
        </w:rPr>
        <w:t>Метод</w:t>
      </w:r>
      <w:r w:rsidR="00CA1CB1" w:rsidRPr="008501F4">
        <w:rPr>
          <w:b/>
          <w:color w:val="auto"/>
          <w:sz w:val="24"/>
          <w:szCs w:val="24"/>
          <w:lang w:val="ru-RU"/>
        </w:rPr>
        <w:t xml:space="preserve"> </w:t>
      </w:r>
      <w:r w:rsidR="00CA1CB1" w:rsidRPr="00A343D5">
        <w:rPr>
          <w:b/>
          <w:color w:val="auto"/>
          <w:sz w:val="24"/>
          <w:szCs w:val="24"/>
          <w:lang w:val="ru-RU"/>
        </w:rPr>
        <w:t>расчета</w:t>
      </w:r>
      <w:r w:rsidR="00CA1CB1" w:rsidRPr="008501F4">
        <w:rPr>
          <w:color w:val="auto"/>
          <w:sz w:val="24"/>
          <w:szCs w:val="24"/>
          <w:lang w:val="ru-RU"/>
        </w:rPr>
        <w:t xml:space="preserve"> </w:t>
      </w:r>
    </w:p>
    <w:p w14:paraId="4E3C3FA9" w14:textId="33E1764E" w:rsidR="002E07D4" w:rsidRPr="00DB14CF" w:rsidRDefault="002E07D4" w:rsidP="002E07D4">
      <w:r w:rsidRPr="002E07D4">
        <w:t>Потоки ОЭСР рассчитываются путем принятия общих официальных потоков (</w:t>
      </w:r>
      <w:r w:rsidR="002F42FC">
        <w:rPr>
          <w:lang w:val="en-US"/>
        </w:rPr>
        <w:t>ODA</w:t>
      </w:r>
      <w:r w:rsidRPr="002E07D4">
        <w:t xml:space="preserve"> и </w:t>
      </w:r>
      <w:r w:rsidR="002F42FC">
        <w:rPr>
          <w:lang w:val="en-US"/>
        </w:rPr>
        <w:t>OOF</w:t>
      </w:r>
      <w:r w:rsidRPr="002E07D4">
        <w:t xml:space="preserve">) от стран-членов </w:t>
      </w:r>
      <w:r w:rsidR="002F42FC">
        <w:rPr>
          <w:lang w:val="en-US"/>
        </w:rPr>
        <w:t>DAC</w:t>
      </w:r>
      <w:r w:rsidRPr="002E07D4">
        <w:t xml:space="preserve">, многосторонних организаций и других поставщиков помощи в целях развития для перечисленных выше секторов. Потоки IRENA (дополнительные) рассчитываются путем учета общих потоков государственных инвестиций из базы данных об инвестициях в возобновляемые источники энергии IRENA и исключая: внутренние финансовые потоки; международные потоки в страны за пределами развивающихся регионов; и потоки, сообщенные ОЭСР (как описано выше). Потоки измеряются </w:t>
      </w:r>
      <w:proofErr w:type="gramStart"/>
      <w:r w:rsidR="00DB14CF">
        <w:t>долларах</w:t>
      </w:r>
      <w:proofErr w:type="gramEnd"/>
      <w:r w:rsidR="00DB14CF">
        <w:t xml:space="preserve"> США (USD)</w:t>
      </w:r>
      <w:r w:rsidR="00DB14CF" w:rsidRPr="00DB14CF">
        <w:t xml:space="preserve"> </w:t>
      </w:r>
      <w:r w:rsidR="00DB14CF" w:rsidRPr="002E07D4">
        <w:t>в текущих</w:t>
      </w:r>
      <w:r w:rsidR="00DB14CF">
        <w:t xml:space="preserve"> ценах.</w:t>
      </w:r>
    </w:p>
    <w:p w14:paraId="55EE0790" w14:textId="77777777" w:rsidR="00892AB4" w:rsidRDefault="00892AB4" w:rsidP="00892AB4">
      <w:pPr>
        <w:pStyle w:val="a0"/>
      </w:pPr>
      <w:r>
        <w:t>Потоки отслеживаются по индивидуальным обязательствам или уровню активности. При наличии дублирующих обязательств между базами данных ОЭСР и IRENA они исключаются из базы данных IRENA.</w:t>
      </w:r>
    </w:p>
    <w:p w14:paraId="30D744E5" w14:textId="566DF300" w:rsidR="00892AB4" w:rsidRPr="00892AB4" w:rsidRDefault="00892AB4" w:rsidP="00892AB4">
      <w:pPr>
        <w:pStyle w:val="a0"/>
      </w:pPr>
      <w:r>
        <w:t xml:space="preserve">Потоки пересчитываются доллары США </w:t>
      </w:r>
      <w:r w:rsidR="006030EF">
        <w:t xml:space="preserve">в постоянных ценах </w:t>
      </w:r>
      <w:r>
        <w:t xml:space="preserve">за базовый год, который обычно отстает от года публикации на два года. При расчете используется методология определения дефлятора DAC, разъясненная ОЭСР </w:t>
      </w:r>
      <w:proofErr w:type="gramStart"/>
      <w:r>
        <w:t>на</w:t>
      </w:r>
      <w:proofErr w:type="gramEnd"/>
      <w:r>
        <w:t xml:space="preserve"> </w:t>
      </w:r>
      <w:proofErr w:type="gramStart"/>
      <w:r>
        <w:t>их</w:t>
      </w:r>
      <w:proofErr w:type="gramEnd"/>
      <w:r>
        <w:t xml:space="preserve"> </w:t>
      </w:r>
      <w:hyperlink r:id="rId9" w:history="1">
        <w:r w:rsidRPr="00892AB4">
          <w:rPr>
            <w:rStyle w:val="ad"/>
          </w:rPr>
          <w:t>веб-сайте</w:t>
        </w:r>
      </w:hyperlink>
      <w:r>
        <w:t>.</w:t>
      </w:r>
    </w:p>
    <w:p w14:paraId="78630DD5" w14:textId="77777777" w:rsidR="002E15F9" w:rsidRPr="00A343D5" w:rsidRDefault="002E15F9" w:rsidP="00C96C28">
      <w:pPr>
        <w:pStyle w:val="MHeader2"/>
        <w:pBdr>
          <w:bottom w:val="single" w:sz="12" w:space="3" w:color="DDDDDD"/>
        </w:pBdr>
        <w:spacing w:line="276" w:lineRule="auto"/>
        <w:rPr>
          <w:color w:val="auto"/>
          <w:sz w:val="24"/>
          <w:szCs w:val="24"/>
          <w:lang w:val="ru-RU"/>
        </w:rPr>
      </w:pPr>
      <w:r w:rsidRPr="00A343D5">
        <w:rPr>
          <w:color w:val="auto"/>
          <w:sz w:val="24"/>
          <w:szCs w:val="24"/>
          <w:lang w:val="ru-RU"/>
        </w:rPr>
        <w:t>4.</w:t>
      </w:r>
      <w:r w:rsidRPr="00A343D5">
        <w:rPr>
          <w:color w:val="auto"/>
          <w:sz w:val="24"/>
          <w:szCs w:val="24"/>
        </w:rPr>
        <w:t>d</w:t>
      </w:r>
      <w:r w:rsidRPr="00A343D5">
        <w:rPr>
          <w:color w:val="auto"/>
          <w:sz w:val="24"/>
          <w:szCs w:val="24"/>
          <w:lang w:val="ru-RU"/>
        </w:rPr>
        <w:t xml:space="preserve">. </w:t>
      </w:r>
      <w:r w:rsidR="00694160" w:rsidRPr="00A343D5">
        <w:rPr>
          <w:b/>
          <w:color w:val="auto"/>
          <w:sz w:val="24"/>
          <w:szCs w:val="24"/>
          <w:lang w:val="ru-RU"/>
        </w:rPr>
        <w:t>Валидация</w:t>
      </w:r>
    </w:p>
    <w:p w14:paraId="0B16A39C" w14:textId="77777777" w:rsidR="00253365" w:rsidRDefault="00253365" w:rsidP="00253365">
      <w:r w:rsidRPr="00253365">
        <w:t xml:space="preserve">Для ОЭСР см. </w:t>
      </w:r>
      <w:hyperlink r:id="rId10" w:history="1">
        <w:r w:rsidRPr="004B3303">
          <w:rPr>
            <w:rStyle w:val="ad"/>
          </w:rPr>
          <w:t>http://www.oecd.org/dac/stats/methodology.htm</w:t>
        </w:r>
      </w:hyperlink>
      <w:r w:rsidRPr="00253365">
        <w:t>.</w:t>
      </w:r>
    </w:p>
    <w:p w14:paraId="7E8F5BA1" w14:textId="77777777" w:rsidR="002E15F9" w:rsidRDefault="002E15F9" w:rsidP="00B179C9">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00694160" w:rsidRPr="00A343D5">
        <w:rPr>
          <w:b/>
          <w:color w:val="auto"/>
          <w:sz w:val="24"/>
          <w:szCs w:val="24"/>
          <w:lang w:val="ru-RU"/>
        </w:rPr>
        <w:t>Корректировки</w:t>
      </w:r>
    </w:p>
    <w:p w14:paraId="5CBB2606" w14:textId="77777777" w:rsidR="00253365" w:rsidRPr="00253365" w:rsidRDefault="00253365" w:rsidP="00696745">
      <w:r>
        <w:t>Не применимо.</w:t>
      </w:r>
    </w:p>
    <w:p w14:paraId="12AE9BCF" w14:textId="77777777"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14:paraId="4F9C0FB1" w14:textId="03F2AF21" w:rsidR="00E36AFE" w:rsidRPr="004F6935" w:rsidRDefault="00E36AFE" w:rsidP="004F6935">
      <w:pPr>
        <w:pStyle w:val="ac"/>
        <w:numPr>
          <w:ilvl w:val="0"/>
          <w:numId w:val="6"/>
        </w:numPr>
        <w:rPr>
          <w:i/>
        </w:rPr>
      </w:pPr>
      <w:r w:rsidRPr="004F6935">
        <w:rPr>
          <w:i/>
        </w:rPr>
        <w:t xml:space="preserve">На </w:t>
      </w:r>
      <w:r w:rsidR="004F6935" w:rsidRPr="004F6935">
        <w:rPr>
          <w:i/>
        </w:rPr>
        <w:t>страновом уровне:</w:t>
      </w:r>
    </w:p>
    <w:p w14:paraId="3112DBAF" w14:textId="77777777" w:rsidR="00E36AFE" w:rsidRPr="00E36AFE" w:rsidRDefault="00E36AFE" w:rsidP="00E36AFE">
      <w:r w:rsidRPr="00E36AFE">
        <w:t>Не применимо - нет вменения отсутствующих значений.</w:t>
      </w:r>
    </w:p>
    <w:p w14:paraId="3B828F02" w14:textId="050F693C" w:rsidR="00E36AFE" w:rsidRPr="004F6935" w:rsidRDefault="00E36AFE" w:rsidP="004F6935">
      <w:pPr>
        <w:pStyle w:val="ac"/>
        <w:numPr>
          <w:ilvl w:val="0"/>
          <w:numId w:val="6"/>
        </w:numPr>
        <w:rPr>
          <w:i/>
        </w:rPr>
      </w:pPr>
      <w:r w:rsidRPr="004F6935">
        <w:rPr>
          <w:i/>
        </w:rPr>
        <w:t>На региональном и глобальном уровнях</w:t>
      </w:r>
    </w:p>
    <w:p w14:paraId="1AB50FAD" w14:textId="77777777" w:rsidR="00E36AFE" w:rsidRDefault="00E36AFE" w:rsidP="00E36AFE">
      <w:r w:rsidRPr="00E36AFE">
        <w:t>Не применимо - нет вменения недостающих значений для получения региональных или глобальных итогов.</w:t>
      </w:r>
    </w:p>
    <w:p w14:paraId="2F27326C" w14:textId="77777777" w:rsidR="002E15F9" w:rsidRDefault="002E15F9" w:rsidP="00351952">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14:paraId="0DC61328" w14:textId="77777777" w:rsidR="00F56853" w:rsidRDefault="00F56853" w:rsidP="00F56853">
      <w:r w:rsidRPr="00F56853">
        <w:t>Региональные и глобальные итоги рассчитываются путем суммирования всех имеющихся данных из стран.</w:t>
      </w:r>
    </w:p>
    <w:p w14:paraId="02D9A8AC" w14:textId="77777777" w:rsidR="00F56853" w:rsidRDefault="002E15F9" w:rsidP="00A1299E">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h</w:t>
      </w:r>
      <w:r w:rsidRPr="00A343D5">
        <w:rPr>
          <w:color w:val="auto"/>
          <w:sz w:val="24"/>
          <w:szCs w:val="24"/>
          <w:lang w:val="ru-RU"/>
        </w:rPr>
        <w:t xml:space="preserve">. </w:t>
      </w:r>
      <w:r w:rsidR="00E27922" w:rsidRPr="00A343D5">
        <w:rPr>
          <w:b/>
          <w:color w:val="auto"/>
          <w:sz w:val="24"/>
          <w:szCs w:val="24"/>
          <w:lang w:val="ru-RU"/>
        </w:rPr>
        <w:t>Доступные странам методы для сбора данных на национальном уровне</w:t>
      </w:r>
    </w:p>
    <w:p w14:paraId="7328785E" w14:textId="77777777" w:rsidR="00F56853" w:rsidRPr="00F56853" w:rsidRDefault="00F56853" w:rsidP="00F56853">
      <w:r>
        <w:lastRenderedPageBreak/>
        <w:t>Не применимо.</w:t>
      </w:r>
    </w:p>
    <w:p w14:paraId="729E9C98" w14:textId="77777777" w:rsidR="00151C00" w:rsidRDefault="002E15F9" w:rsidP="00547F84">
      <w:pPr>
        <w:rPr>
          <w:b/>
          <w:szCs w:val="24"/>
        </w:rPr>
      </w:pPr>
      <w:r w:rsidRPr="00A343D5">
        <w:rPr>
          <w:szCs w:val="24"/>
        </w:rPr>
        <w:t xml:space="preserve">4.i. </w:t>
      </w:r>
      <w:r w:rsidR="00E27922" w:rsidRPr="00A343D5">
        <w:rPr>
          <w:b/>
          <w:szCs w:val="24"/>
        </w:rPr>
        <w:t>Управление качеством</w:t>
      </w:r>
    </w:p>
    <w:p w14:paraId="49EA5A18" w14:textId="77777777" w:rsidR="0089043A" w:rsidRPr="0089043A" w:rsidRDefault="0089043A" w:rsidP="0089043A">
      <w:r w:rsidRPr="0089043A">
        <w:t xml:space="preserve">IRENA проверяет </w:t>
      </w:r>
      <w:r>
        <w:t>данный</w:t>
      </w:r>
      <w:r w:rsidRPr="0089043A">
        <w:t xml:space="preserve"> индикатор для региональных, технологических, донорских и временных агрегатов. Любые значения, которые не классифицируются должным образом, проверяются на уровне проекта и вручную классифицируются по соответствующей технологии, стране, году или типу прибора.</w:t>
      </w:r>
    </w:p>
    <w:p w14:paraId="3E8F33B2" w14:textId="77777777" w:rsidR="00151C00" w:rsidRDefault="002E15F9" w:rsidP="00F56853">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j</w:t>
      </w:r>
      <w:r w:rsidR="00E27922" w:rsidRPr="00A343D5">
        <w:rPr>
          <w:color w:val="auto"/>
          <w:sz w:val="24"/>
          <w:szCs w:val="24"/>
          <w:lang w:val="ru-RU"/>
        </w:rPr>
        <w:t>.</w:t>
      </w:r>
      <w:r w:rsidRPr="00A343D5">
        <w:rPr>
          <w:color w:val="auto"/>
          <w:sz w:val="24"/>
          <w:szCs w:val="24"/>
          <w:lang w:val="ru-RU"/>
        </w:rPr>
        <w:t xml:space="preserve"> </w:t>
      </w:r>
      <w:r w:rsidR="00E27922" w:rsidRPr="00A343D5">
        <w:rPr>
          <w:b/>
          <w:color w:val="auto"/>
          <w:sz w:val="24"/>
          <w:szCs w:val="24"/>
          <w:lang w:val="ru-RU"/>
        </w:rPr>
        <w:t>Обеспечение качества</w:t>
      </w:r>
    </w:p>
    <w:p w14:paraId="16BEF980" w14:textId="100635E7" w:rsidR="0089043A" w:rsidRPr="005008D1" w:rsidRDefault="0089043A" w:rsidP="0089043A">
      <w:pPr>
        <w:rPr>
          <w:rFonts w:eastAsia="Times New Roman" w:cs="Times New Roman"/>
          <w:lang w:eastAsia="en-GB"/>
        </w:rPr>
      </w:pPr>
      <w:r w:rsidRPr="0089043A">
        <w:t>Данные ОЭСР/</w:t>
      </w:r>
      <w:r w:rsidR="00B14FC8">
        <w:rPr>
          <w:lang w:val="en-US"/>
        </w:rPr>
        <w:t>DAC</w:t>
      </w:r>
      <w:r w:rsidRPr="0089043A">
        <w:t xml:space="preserve"> сообщаются донорами в соответствии с теми же стандартами и методологиями (см. здесь: </w:t>
      </w:r>
      <w:hyperlink r:id="rId11" w:history="1">
        <w:r w:rsidR="005008D1" w:rsidRPr="00F12747">
          <w:rPr>
            <w:rStyle w:val="ad"/>
          </w:rPr>
          <w:t>http://www.oecd.org/dac/stats/methodology.htm</w:t>
        </w:r>
      </w:hyperlink>
      <w:r w:rsidRPr="0089043A">
        <w:t xml:space="preserve">). Данные IRENA составляются из национальных источников в соответствии с Основополагающими принципами официальной статистики Организации Объединенных Наций: </w:t>
      </w:r>
      <w:hyperlink r:id="rId12" w:history="1">
        <w:r w:rsidR="005008D1" w:rsidRPr="00F12747">
          <w:rPr>
            <w:rStyle w:val="ad"/>
          </w:rPr>
          <w:t>https://unstats.un.org/unsd/dnss/gp/fundprinciples.aspx</w:t>
        </w:r>
      </w:hyperlink>
      <w:r w:rsidR="005008D1" w:rsidRPr="005008D1">
        <w:t>/</w:t>
      </w:r>
    </w:p>
    <w:p w14:paraId="37766211" w14:textId="77777777" w:rsidR="002E15F9" w:rsidRDefault="0075371E" w:rsidP="005C123D">
      <w:pPr>
        <w:pStyle w:val="MText"/>
        <w:rPr>
          <w:color w:val="auto"/>
          <w:sz w:val="24"/>
          <w:szCs w:val="24"/>
          <w:lang w:val="ru-RU"/>
        </w:rPr>
      </w:pPr>
      <w:r w:rsidRPr="00A343D5">
        <w:rPr>
          <w:color w:val="auto"/>
          <w:sz w:val="24"/>
          <w:szCs w:val="24"/>
          <w:lang w:val="ru-RU"/>
        </w:rPr>
        <w:t>4.</w:t>
      </w:r>
      <w:r w:rsidRPr="00A343D5">
        <w:rPr>
          <w:color w:val="auto"/>
          <w:sz w:val="24"/>
          <w:szCs w:val="24"/>
        </w:rPr>
        <w:t>k</w:t>
      </w:r>
      <w:r w:rsidRPr="00A343D5">
        <w:rPr>
          <w:color w:val="auto"/>
          <w:sz w:val="24"/>
          <w:szCs w:val="24"/>
          <w:lang w:val="ru-RU"/>
        </w:rPr>
        <w:t xml:space="preserve">. </w:t>
      </w:r>
      <w:r w:rsidRPr="00A343D5">
        <w:rPr>
          <w:b/>
          <w:color w:val="auto"/>
          <w:sz w:val="24"/>
          <w:szCs w:val="24"/>
          <w:lang w:val="ru-RU"/>
        </w:rPr>
        <w:t>Оценка качества</w:t>
      </w:r>
      <w:r w:rsidRPr="00A343D5">
        <w:rPr>
          <w:color w:val="auto"/>
          <w:sz w:val="24"/>
          <w:szCs w:val="24"/>
          <w:lang w:val="ru-RU"/>
        </w:rPr>
        <w:t xml:space="preserve"> </w:t>
      </w:r>
    </w:p>
    <w:p w14:paraId="539CF35A" w14:textId="36103FC0" w:rsidR="00F56853" w:rsidRPr="00A343D5" w:rsidRDefault="00D40E85" w:rsidP="00D40E85">
      <w:r w:rsidRPr="00D40E85">
        <w:t>Этот показатель считается</w:t>
      </w:r>
      <w:r>
        <w:t xml:space="preserve"> правильно рассчитанным</w:t>
      </w:r>
      <w:r w:rsidRPr="00D40E85">
        <w:t>, если все международные финансовые потоки в базе данных правильно распределены по стране, году, технологии, типу инструмента и любой другой категории, соответствующей требованиям для Глобальной базы данных ЦУР и в соответствии с требованиями СО</w:t>
      </w:r>
      <w:r w:rsidR="00B0044F">
        <w:t xml:space="preserve"> </w:t>
      </w:r>
      <w:r w:rsidRPr="00D40E85">
        <w:t xml:space="preserve">ООН. </w:t>
      </w:r>
      <w:proofErr w:type="gramStart"/>
      <w:r w:rsidRPr="00D40E85">
        <w:t xml:space="preserve">Кроме того, потоки находятся в хорошем состоянии при правильном </w:t>
      </w:r>
      <w:proofErr w:type="spellStart"/>
      <w:r w:rsidRPr="00D40E85">
        <w:t>дефлировании</w:t>
      </w:r>
      <w:proofErr w:type="spellEnd"/>
      <w:r w:rsidRPr="00D40E85">
        <w:t xml:space="preserve"> с учетом инфляции и изменений обменного курса.</w:t>
      </w:r>
      <w:proofErr w:type="gramEnd"/>
    </w:p>
    <w:p w14:paraId="4730A0FB" w14:textId="6A75F8C2" w:rsidR="002E15F9" w:rsidRPr="00A343D5" w:rsidRDefault="002E15F9" w:rsidP="00A343D5">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Доступность и дезагрег</w:t>
      </w:r>
      <w:r w:rsidR="00C76CDE">
        <w:rPr>
          <w:b/>
          <w:color w:val="auto"/>
          <w:sz w:val="24"/>
          <w:szCs w:val="24"/>
          <w:lang w:val="ru-RU"/>
        </w:rPr>
        <w:t>ация</w:t>
      </w:r>
      <w:r w:rsidR="0075371E" w:rsidRPr="00EA60C7">
        <w:rPr>
          <w:b/>
          <w:color w:val="auto"/>
          <w:sz w:val="24"/>
          <w:szCs w:val="24"/>
          <w:lang w:val="ru-RU"/>
        </w:rPr>
        <w:t xml:space="preserve"> данных</w:t>
      </w:r>
    </w:p>
    <w:p w14:paraId="2F9C9C7E" w14:textId="77777777" w:rsidR="00547F84" w:rsidRPr="00A9497A" w:rsidRDefault="00547F84" w:rsidP="00547F84">
      <w:pPr>
        <w:rPr>
          <w:b/>
        </w:rPr>
      </w:pPr>
      <w:r w:rsidRPr="00A9497A">
        <w:rPr>
          <w:b/>
        </w:rPr>
        <w:t>Доступность данных:</w:t>
      </w:r>
    </w:p>
    <w:p w14:paraId="262C696A" w14:textId="3B5E1525" w:rsidR="00D40E85" w:rsidRDefault="00D40E85" w:rsidP="00547F84">
      <w:r w:rsidRPr="00D40E85">
        <w:t xml:space="preserve">CRS содержит потоки для всех стран-получателей </w:t>
      </w:r>
      <w:r w:rsidR="002A1B74">
        <w:rPr>
          <w:lang w:val="en-US"/>
        </w:rPr>
        <w:t>DAC</w:t>
      </w:r>
      <w:r w:rsidRPr="00D40E85">
        <w:t xml:space="preserve">. Глобальные и региональные показатели основаны на сумме потоков </w:t>
      </w:r>
      <w:r w:rsidR="00ED0546">
        <w:rPr>
          <w:lang w:val="en-US"/>
        </w:rPr>
        <w:t>ODA</w:t>
      </w:r>
      <w:r w:rsidRPr="00D40E85">
        <w:t xml:space="preserve"> и OOF для проектов в области возобновляемых источников энергии. В настоящее время IRENA включает данные о проектах в области возобновляемых источников энергии в </w:t>
      </w:r>
      <w:r w:rsidR="00C1012D">
        <w:t>41</w:t>
      </w:r>
      <w:r w:rsidRPr="00D40E85">
        <w:t xml:space="preserve"> развит</w:t>
      </w:r>
      <w:r w:rsidR="00C1012D">
        <w:t>ой</w:t>
      </w:r>
      <w:r w:rsidRPr="00D40E85">
        <w:t xml:space="preserve"> стран</w:t>
      </w:r>
      <w:r w:rsidR="00C1012D">
        <w:t>е</w:t>
      </w:r>
      <w:r w:rsidRPr="00D40E85">
        <w:t xml:space="preserve"> и 10</w:t>
      </w:r>
      <w:r w:rsidR="00C1012D">
        <w:t>9</w:t>
      </w:r>
      <w:r w:rsidRPr="00D40E85">
        <w:t xml:space="preserve"> развивающихся странах (1</w:t>
      </w:r>
      <w:r w:rsidR="00C1012D">
        <w:t>50</w:t>
      </w:r>
      <w:r w:rsidRPr="00D40E85">
        <w:t xml:space="preserve"> страны в целом).</w:t>
      </w:r>
    </w:p>
    <w:p w14:paraId="10D4C09B" w14:textId="77777777" w:rsidR="00547F84" w:rsidRPr="00A9497A" w:rsidRDefault="00547F84" w:rsidP="00547F84">
      <w:pPr>
        <w:rPr>
          <w:b/>
        </w:rPr>
      </w:pPr>
      <w:r w:rsidRPr="00A9497A">
        <w:rPr>
          <w:b/>
        </w:rPr>
        <w:t>Временные ряды:</w:t>
      </w:r>
    </w:p>
    <w:p w14:paraId="4A8887F3" w14:textId="77777777" w:rsidR="00A77EB3" w:rsidRPr="00A77EB3" w:rsidRDefault="00D40E85" w:rsidP="00547F84">
      <w:r w:rsidRPr="00D40E85">
        <w:t>ОЭСР: ежегодные</w:t>
      </w:r>
      <w:r w:rsidR="00A77EB3">
        <w:t xml:space="preserve"> данные с 1960 года (см. выше).</w:t>
      </w:r>
    </w:p>
    <w:p w14:paraId="4CEDBD85" w14:textId="235DF2BA" w:rsidR="00D40E85" w:rsidRDefault="00D40E85" w:rsidP="00547F84">
      <w:r w:rsidRPr="00D40E85">
        <w:t xml:space="preserve">IRENA: ежегодные данные </w:t>
      </w:r>
      <w:r w:rsidR="00C23366">
        <w:t>с</w:t>
      </w:r>
      <w:r w:rsidRPr="00D40E85">
        <w:t xml:space="preserve"> 200</w:t>
      </w:r>
      <w:r w:rsidR="00C23366">
        <w:t>0</w:t>
      </w:r>
      <w:r w:rsidRPr="00D40E85">
        <w:t xml:space="preserve"> год</w:t>
      </w:r>
      <w:r w:rsidR="00C23366">
        <w:t>а</w:t>
      </w:r>
      <w:r w:rsidRPr="00D40E85">
        <w:t>.</w:t>
      </w:r>
    </w:p>
    <w:p w14:paraId="578C6E88" w14:textId="77777777" w:rsidR="00547F84" w:rsidRPr="00A9497A" w:rsidRDefault="00547F84" w:rsidP="00547F84">
      <w:pPr>
        <w:rPr>
          <w:b/>
        </w:rPr>
      </w:pPr>
      <w:r w:rsidRPr="00A9497A">
        <w:rPr>
          <w:b/>
        </w:rPr>
        <w:t>Дезагрегация:</w:t>
      </w:r>
    </w:p>
    <w:p w14:paraId="417941BB" w14:textId="6385616F" w:rsidR="00D40E85" w:rsidRPr="00D40E85" w:rsidRDefault="00D40E85" w:rsidP="00D40E85">
      <w:r w:rsidRPr="00D40E85">
        <w:t xml:space="preserve">Данные в CRS содержат маркеры, которые отражают, достигается ли цель </w:t>
      </w:r>
      <w:r w:rsidR="00176AD4">
        <w:t xml:space="preserve">проводимой политики </w:t>
      </w:r>
      <w:r w:rsidRPr="00D40E85">
        <w:t>посредством этой деятельности. Измерение гендерного равенства включено в CRS. Данные из CRS представлены на уровне проекта и могут быть дезагрегированы по типу потока (ODA или OOF), донором, страной-получателем, типом финансирования, типом помощи (проект, подсектор сельского хозяйства и т.д.).</w:t>
      </w:r>
    </w:p>
    <w:p w14:paraId="63DB731B" w14:textId="77777777" w:rsidR="00D40E85" w:rsidRDefault="00D40E85" w:rsidP="00D40E85">
      <w:r w:rsidRPr="00D40E85">
        <w:t xml:space="preserve">Данные в IRENA хранятся по странам (источник и получатель) на уровне проекта, что позволяет дезагрегировать данные в нескольких измерениях. Например, финансовые потоки можно разделить на технологии (например, биоэнергетику, геотермальную энергию, гидроэнергетику, энергию океана, солнечную энергию и энергию ветра) и </w:t>
      </w:r>
      <w:proofErr w:type="spellStart"/>
      <w:r w:rsidRPr="00D40E85">
        <w:lastRenderedPageBreak/>
        <w:t>субтехнологий</w:t>
      </w:r>
      <w:proofErr w:type="spellEnd"/>
      <w:r w:rsidRPr="00D40E85">
        <w:t xml:space="preserve"> (например, на суше и на суше), по географии (как на страновом, так и на региональном уровне), финансовым инструментом и типом получателя.</w:t>
      </w:r>
    </w:p>
    <w:p w14:paraId="74DBBA48" w14:textId="77777777" w:rsidR="002E15F9" w:rsidRPr="00547F84" w:rsidRDefault="002E15F9" w:rsidP="00547F84">
      <w:pPr>
        <w:pStyle w:val="MHeader"/>
        <w:spacing w:after="100"/>
        <w:rPr>
          <w:rFonts w:eastAsiaTheme="minorHAnsi" w:cstheme="minorBidi"/>
          <w:color w:val="auto"/>
          <w:sz w:val="24"/>
          <w:szCs w:val="22"/>
          <w:lang w:val="ru-RU" w:eastAsia="en-US"/>
        </w:rPr>
      </w:pPr>
      <w:r w:rsidRPr="00A343D5">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14:paraId="2C865671" w14:textId="77777777" w:rsidR="0049008B" w:rsidRDefault="0049008B" w:rsidP="00342801">
      <w:pPr>
        <w:rPr>
          <w:lang w:eastAsia="en-GB"/>
        </w:rPr>
      </w:pPr>
      <w:r w:rsidRPr="0049008B">
        <w:rPr>
          <w:lang w:eastAsia="en-GB"/>
        </w:rPr>
        <w:t>Ни ОЭСР, ни IRENA не делают оценки этих цифр. Все данные поступают из национальных источников, сообщенных ОЭСР или, в случае IRENA, из официально опубликованных статистических данных.</w:t>
      </w:r>
    </w:p>
    <w:p w14:paraId="38AEF150" w14:textId="77777777" w:rsidR="0049008B" w:rsidRDefault="0049008B" w:rsidP="0049008B">
      <w:pPr>
        <w:rPr>
          <w:lang w:eastAsia="en-GB"/>
        </w:rPr>
      </w:pPr>
    </w:p>
    <w:p w14:paraId="2A6C4FBF" w14:textId="77777777" w:rsidR="00C22DF6" w:rsidRPr="00696745" w:rsidRDefault="00040034" w:rsidP="0049008B">
      <w:pPr>
        <w:pBdr>
          <w:bottom w:val="single" w:sz="12" w:space="4" w:color="DDDDDD"/>
        </w:pBdr>
        <w:shd w:val="clear" w:color="auto" w:fill="FFFFFF"/>
        <w:spacing w:after="100"/>
        <w:outlineLvl w:val="2"/>
        <w:rPr>
          <w:lang w:val="en-US" w:eastAsia="en-GB"/>
        </w:rPr>
      </w:pPr>
      <w:r w:rsidRPr="00696745">
        <w:rPr>
          <w:rFonts w:eastAsia="Times New Roman" w:cs="Times New Roman"/>
          <w:b/>
          <w:szCs w:val="24"/>
          <w:lang w:val="en-US" w:eastAsia="en-GB"/>
        </w:rPr>
        <w:t xml:space="preserve">7. </w:t>
      </w:r>
      <w:r w:rsidRPr="00A343D5">
        <w:rPr>
          <w:rFonts w:eastAsia="Times New Roman" w:cs="Times New Roman"/>
          <w:b/>
          <w:szCs w:val="24"/>
          <w:lang w:eastAsia="en-GB"/>
        </w:rPr>
        <w:t>Ссылки</w:t>
      </w:r>
      <w:r w:rsidRPr="00696745">
        <w:rPr>
          <w:rFonts w:eastAsia="Times New Roman" w:cs="Times New Roman"/>
          <w:b/>
          <w:szCs w:val="24"/>
          <w:lang w:val="en-US" w:eastAsia="en-GB"/>
        </w:rPr>
        <w:t xml:space="preserve"> </w:t>
      </w:r>
      <w:r w:rsidRPr="00A343D5">
        <w:rPr>
          <w:rFonts w:eastAsia="Times New Roman" w:cs="Times New Roman"/>
          <w:b/>
          <w:szCs w:val="24"/>
          <w:lang w:eastAsia="en-GB"/>
        </w:rPr>
        <w:t>и</w:t>
      </w:r>
      <w:r w:rsidRPr="00696745">
        <w:rPr>
          <w:rFonts w:eastAsia="Times New Roman" w:cs="Times New Roman"/>
          <w:b/>
          <w:szCs w:val="24"/>
          <w:lang w:val="en-US" w:eastAsia="en-GB"/>
        </w:rPr>
        <w:t xml:space="preserve"> </w:t>
      </w:r>
      <w:r w:rsidRPr="00A343D5">
        <w:rPr>
          <w:rFonts w:eastAsia="Times New Roman" w:cs="Times New Roman"/>
          <w:b/>
          <w:szCs w:val="24"/>
          <w:lang w:eastAsia="en-GB"/>
        </w:rPr>
        <w:t>документы</w:t>
      </w:r>
    </w:p>
    <w:p w14:paraId="183C2962" w14:textId="6640E1EB" w:rsidR="0049008B" w:rsidRPr="00D87236" w:rsidRDefault="0049008B" w:rsidP="0049008B">
      <w:pPr>
        <w:pStyle w:val="a0"/>
        <w:rPr>
          <w:lang w:val="en-US" w:eastAsia="en-GB"/>
        </w:rPr>
      </w:pPr>
      <w:r w:rsidRPr="0049008B">
        <w:rPr>
          <w:lang w:val="en-US" w:eastAsia="en-GB"/>
        </w:rPr>
        <w:t xml:space="preserve">CRS: See all links here: </w:t>
      </w:r>
      <w:hyperlink r:id="rId13" w:history="1">
        <w:r w:rsidR="00D87236" w:rsidRPr="00F12747">
          <w:rPr>
            <w:rStyle w:val="ad"/>
            <w:lang w:val="en-US" w:eastAsia="en-GB"/>
          </w:rPr>
          <w:t>http://www.oecd.org/dac/stats/methodology.htm</w:t>
        </w:r>
      </w:hyperlink>
    </w:p>
    <w:p w14:paraId="570C43A8" w14:textId="77777777" w:rsidR="0049008B" w:rsidRPr="0049008B" w:rsidRDefault="0049008B" w:rsidP="0049008B">
      <w:pPr>
        <w:pStyle w:val="a0"/>
        <w:rPr>
          <w:lang w:val="en-US" w:eastAsia="en-GB"/>
        </w:rPr>
      </w:pPr>
      <w:r w:rsidRPr="0049008B">
        <w:rPr>
          <w:lang w:val="en-US" w:eastAsia="en-GB"/>
        </w:rPr>
        <w:t>IRENA Renewable Energy Finance Flows:</w:t>
      </w:r>
    </w:p>
    <w:p w14:paraId="0C8C6092" w14:textId="6227D2A1" w:rsidR="0049008B" w:rsidRPr="00D87236" w:rsidRDefault="00536608" w:rsidP="0049008B">
      <w:pPr>
        <w:pStyle w:val="a0"/>
        <w:rPr>
          <w:lang w:val="en-US" w:eastAsia="en-GB"/>
        </w:rPr>
      </w:pPr>
      <w:hyperlink r:id="rId14" w:history="1">
        <w:r w:rsidR="00D87236" w:rsidRPr="00F12747">
          <w:rPr>
            <w:rStyle w:val="ad"/>
            <w:lang w:val="en-US" w:eastAsia="en-GB"/>
          </w:rPr>
          <w:t>http://resourceirena.irena.org/gateway/dashboard/?topic=6&amp;subTopic=8</w:t>
        </w:r>
      </w:hyperlink>
    </w:p>
    <w:sectPr w:rsidR="0049008B" w:rsidRPr="00D87236">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BC2D" w14:textId="77777777" w:rsidR="00EA2118" w:rsidRDefault="00EA2118" w:rsidP="00F73DBC">
      <w:pPr>
        <w:spacing w:after="0" w:line="240" w:lineRule="auto"/>
      </w:pPr>
      <w:r>
        <w:separator/>
      </w:r>
    </w:p>
  </w:endnote>
  <w:endnote w:type="continuationSeparator" w:id="0">
    <w:p w14:paraId="2031E07B" w14:textId="77777777" w:rsidR="00EA2118" w:rsidRDefault="00EA2118" w:rsidP="00F73DBC">
      <w:pPr>
        <w:spacing w:after="0" w:line="240" w:lineRule="auto"/>
      </w:pPr>
      <w:r>
        <w:continuationSeparator/>
      </w:r>
    </w:p>
  </w:endnote>
  <w:endnote w:type="continuationNotice" w:id="1">
    <w:p w14:paraId="4F0E0405" w14:textId="77777777" w:rsidR="00EA2118" w:rsidRDefault="00EA2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39C4D" w14:textId="77777777" w:rsidR="00EA2118" w:rsidRDefault="00EA2118" w:rsidP="00F73DBC">
      <w:pPr>
        <w:spacing w:after="0" w:line="240" w:lineRule="auto"/>
      </w:pPr>
      <w:r>
        <w:separator/>
      </w:r>
    </w:p>
  </w:footnote>
  <w:footnote w:type="continuationSeparator" w:id="0">
    <w:p w14:paraId="0C783518" w14:textId="77777777" w:rsidR="00EA2118" w:rsidRDefault="00EA2118" w:rsidP="00F73DBC">
      <w:pPr>
        <w:spacing w:after="0" w:line="240" w:lineRule="auto"/>
      </w:pPr>
      <w:r>
        <w:continuationSeparator/>
      </w:r>
    </w:p>
  </w:footnote>
  <w:footnote w:type="continuationNotice" w:id="1">
    <w:p w14:paraId="7342C0DF" w14:textId="77777777" w:rsidR="00EA2118" w:rsidRDefault="00EA211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81B8" w14:textId="77777777" w:rsidR="00FE53A5" w:rsidRDefault="00FE53A5" w:rsidP="009508D1">
    <w:pPr>
      <w:pStyle w:val="af"/>
      <w:jc w:val="right"/>
      <w:rPr>
        <w:i/>
      </w:rPr>
    </w:pPr>
    <w:r w:rsidRPr="009508D1">
      <w:rPr>
        <w:i/>
      </w:rPr>
      <w:t>Неофициальный перевод</w:t>
    </w:r>
    <w:r>
      <w:rPr>
        <w:i/>
      </w:rPr>
      <w:t xml:space="preserve"> </w:t>
    </w:r>
  </w:p>
  <w:p w14:paraId="37811A2E" w14:textId="3B9EF220" w:rsidR="00FE53A5" w:rsidRPr="009508D1" w:rsidRDefault="00FE53A5" w:rsidP="009508D1">
    <w:pPr>
      <w:pStyle w:val="af"/>
      <w:jc w:val="right"/>
    </w:pPr>
    <w:r>
      <w:t xml:space="preserve">Последнее обновление: </w:t>
    </w:r>
    <w:r w:rsidR="00536608">
      <w:t>август</w:t>
    </w:r>
    <w:r>
      <w:t xml:space="preserve"> 202</w:t>
    </w:r>
    <w:r w:rsidR="00186F9B">
      <w:t>3</w:t>
    </w:r>
  </w:p>
  <w:p w14:paraId="6ED6223C" w14:textId="77777777" w:rsidR="00FE53A5" w:rsidRDefault="00FE53A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FEB"/>
    <w:multiLevelType w:val="hybridMultilevel"/>
    <w:tmpl w:val="7220B3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561F4"/>
    <w:multiLevelType w:val="hybridMultilevel"/>
    <w:tmpl w:val="4F84CCB0"/>
    <w:lvl w:ilvl="0" w:tplc="7D98B038">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D4C58"/>
    <w:multiLevelType w:val="hybridMultilevel"/>
    <w:tmpl w:val="03FAC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7B67"/>
    <w:rsid w:val="00026A9E"/>
    <w:rsid w:val="00040034"/>
    <w:rsid w:val="00053D20"/>
    <w:rsid w:val="00062184"/>
    <w:rsid w:val="00066024"/>
    <w:rsid w:val="0008593B"/>
    <w:rsid w:val="000944D6"/>
    <w:rsid w:val="000A210D"/>
    <w:rsid w:val="000A229E"/>
    <w:rsid w:val="000A47E6"/>
    <w:rsid w:val="00104284"/>
    <w:rsid w:val="00110FE3"/>
    <w:rsid w:val="0011581A"/>
    <w:rsid w:val="00116248"/>
    <w:rsid w:val="00120E95"/>
    <w:rsid w:val="00120FDD"/>
    <w:rsid w:val="00122608"/>
    <w:rsid w:val="00133E22"/>
    <w:rsid w:val="00146B30"/>
    <w:rsid w:val="00146FDC"/>
    <w:rsid w:val="001470A2"/>
    <w:rsid w:val="001505DD"/>
    <w:rsid w:val="00151C00"/>
    <w:rsid w:val="0015685B"/>
    <w:rsid w:val="001577EB"/>
    <w:rsid w:val="00162B33"/>
    <w:rsid w:val="0016481E"/>
    <w:rsid w:val="00165896"/>
    <w:rsid w:val="00176AD4"/>
    <w:rsid w:val="00186F9B"/>
    <w:rsid w:val="001A0336"/>
    <w:rsid w:val="001A163A"/>
    <w:rsid w:val="001A214C"/>
    <w:rsid w:val="001D47B7"/>
    <w:rsid w:val="001E2FC9"/>
    <w:rsid w:val="00220DFC"/>
    <w:rsid w:val="002451DF"/>
    <w:rsid w:val="00253365"/>
    <w:rsid w:val="002540B1"/>
    <w:rsid w:val="00263E57"/>
    <w:rsid w:val="002A1B74"/>
    <w:rsid w:val="002B2508"/>
    <w:rsid w:val="002E07D4"/>
    <w:rsid w:val="002E122C"/>
    <w:rsid w:val="002E15F9"/>
    <w:rsid w:val="002E2DAB"/>
    <w:rsid w:val="002F42FC"/>
    <w:rsid w:val="002F63E5"/>
    <w:rsid w:val="00303D71"/>
    <w:rsid w:val="003143BC"/>
    <w:rsid w:val="00342801"/>
    <w:rsid w:val="00346974"/>
    <w:rsid w:val="00347912"/>
    <w:rsid w:val="00351952"/>
    <w:rsid w:val="003563A7"/>
    <w:rsid w:val="003746BC"/>
    <w:rsid w:val="00376FE6"/>
    <w:rsid w:val="00393B97"/>
    <w:rsid w:val="00397764"/>
    <w:rsid w:val="003A34CE"/>
    <w:rsid w:val="003A389C"/>
    <w:rsid w:val="003B2CF2"/>
    <w:rsid w:val="003B340F"/>
    <w:rsid w:val="003E03CC"/>
    <w:rsid w:val="003E3FEB"/>
    <w:rsid w:val="003F248B"/>
    <w:rsid w:val="004066A3"/>
    <w:rsid w:val="00407E4E"/>
    <w:rsid w:val="004143B4"/>
    <w:rsid w:val="00422DE3"/>
    <w:rsid w:val="00443B8E"/>
    <w:rsid w:val="00446A24"/>
    <w:rsid w:val="00453CF8"/>
    <w:rsid w:val="0045754C"/>
    <w:rsid w:val="00465587"/>
    <w:rsid w:val="004735FB"/>
    <w:rsid w:val="00480D4F"/>
    <w:rsid w:val="00481994"/>
    <w:rsid w:val="0049008B"/>
    <w:rsid w:val="004B638C"/>
    <w:rsid w:val="004B6FA0"/>
    <w:rsid w:val="004D283B"/>
    <w:rsid w:val="004E087E"/>
    <w:rsid w:val="004F6935"/>
    <w:rsid w:val="005008D1"/>
    <w:rsid w:val="00503093"/>
    <w:rsid w:val="00504CD2"/>
    <w:rsid w:val="005126D2"/>
    <w:rsid w:val="00514C74"/>
    <w:rsid w:val="00536608"/>
    <w:rsid w:val="00543050"/>
    <w:rsid w:val="00547F84"/>
    <w:rsid w:val="00577C9B"/>
    <w:rsid w:val="0059042F"/>
    <w:rsid w:val="005974D1"/>
    <w:rsid w:val="005A0EA5"/>
    <w:rsid w:val="005A3F2B"/>
    <w:rsid w:val="005B7EBB"/>
    <w:rsid w:val="005C123D"/>
    <w:rsid w:val="005E2ABC"/>
    <w:rsid w:val="005E47BD"/>
    <w:rsid w:val="005F5D78"/>
    <w:rsid w:val="006030EF"/>
    <w:rsid w:val="006120E1"/>
    <w:rsid w:val="00623607"/>
    <w:rsid w:val="006308D5"/>
    <w:rsid w:val="00642663"/>
    <w:rsid w:val="00647C5F"/>
    <w:rsid w:val="00654380"/>
    <w:rsid w:val="00662D70"/>
    <w:rsid w:val="006677B0"/>
    <w:rsid w:val="006763D1"/>
    <w:rsid w:val="00694160"/>
    <w:rsid w:val="00696745"/>
    <w:rsid w:val="00696D77"/>
    <w:rsid w:val="006B260E"/>
    <w:rsid w:val="006B3939"/>
    <w:rsid w:val="006D7049"/>
    <w:rsid w:val="006E15F3"/>
    <w:rsid w:val="006E66FC"/>
    <w:rsid w:val="006F1198"/>
    <w:rsid w:val="006F4DA0"/>
    <w:rsid w:val="006F5EC4"/>
    <w:rsid w:val="00702333"/>
    <w:rsid w:val="00704A8D"/>
    <w:rsid w:val="00705161"/>
    <w:rsid w:val="00707E86"/>
    <w:rsid w:val="00711277"/>
    <w:rsid w:val="00721604"/>
    <w:rsid w:val="007235FA"/>
    <w:rsid w:val="007321BB"/>
    <w:rsid w:val="0075371E"/>
    <w:rsid w:val="00766689"/>
    <w:rsid w:val="00780F08"/>
    <w:rsid w:val="0078233F"/>
    <w:rsid w:val="0078726E"/>
    <w:rsid w:val="00791F1F"/>
    <w:rsid w:val="00795273"/>
    <w:rsid w:val="007A6B26"/>
    <w:rsid w:val="007B0CFD"/>
    <w:rsid w:val="007B0D42"/>
    <w:rsid w:val="007C27E0"/>
    <w:rsid w:val="007C6471"/>
    <w:rsid w:val="007C6FBC"/>
    <w:rsid w:val="007D1185"/>
    <w:rsid w:val="007D49DE"/>
    <w:rsid w:val="007D5E35"/>
    <w:rsid w:val="007E6317"/>
    <w:rsid w:val="00807A22"/>
    <w:rsid w:val="0082082A"/>
    <w:rsid w:val="008501F4"/>
    <w:rsid w:val="00853C09"/>
    <w:rsid w:val="008616D9"/>
    <w:rsid w:val="0089043A"/>
    <w:rsid w:val="00892AB4"/>
    <w:rsid w:val="008A3A19"/>
    <w:rsid w:val="008B47E0"/>
    <w:rsid w:val="00900860"/>
    <w:rsid w:val="009273B4"/>
    <w:rsid w:val="0094218F"/>
    <w:rsid w:val="0094718C"/>
    <w:rsid w:val="00947FA7"/>
    <w:rsid w:val="009508D1"/>
    <w:rsid w:val="009558D8"/>
    <w:rsid w:val="00957A62"/>
    <w:rsid w:val="00964BE9"/>
    <w:rsid w:val="00980F79"/>
    <w:rsid w:val="009843DD"/>
    <w:rsid w:val="00990634"/>
    <w:rsid w:val="009917DD"/>
    <w:rsid w:val="00995788"/>
    <w:rsid w:val="009B3820"/>
    <w:rsid w:val="009B6CB3"/>
    <w:rsid w:val="009B78A2"/>
    <w:rsid w:val="009D078D"/>
    <w:rsid w:val="009D31AD"/>
    <w:rsid w:val="009E707C"/>
    <w:rsid w:val="009F0769"/>
    <w:rsid w:val="009F4A17"/>
    <w:rsid w:val="00A06695"/>
    <w:rsid w:val="00A1299E"/>
    <w:rsid w:val="00A30A0A"/>
    <w:rsid w:val="00A3418B"/>
    <w:rsid w:val="00A343D5"/>
    <w:rsid w:val="00A41B68"/>
    <w:rsid w:val="00A44394"/>
    <w:rsid w:val="00A523A4"/>
    <w:rsid w:val="00A56B34"/>
    <w:rsid w:val="00A618FC"/>
    <w:rsid w:val="00A61EA6"/>
    <w:rsid w:val="00A71EC6"/>
    <w:rsid w:val="00A73CA7"/>
    <w:rsid w:val="00A77EB3"/>
    <w:rsid w:val="00A91FDE"/>
    <w:rsid w:val="00A9497A"/>
    <w:rsid w:val="00AC112C"/>
    <w:rsid w:val="00B0044F"/>
    <w:rsid w:val="00B0378B"/>
    <w:rsid w:val="00B14FC8"/>
    <w:rsid w:val="00B179C9"/>
    <w:rsid w:val="00B17F13"/>
    <w:rsid w:val="00B51BC3"/>
    <w:rsid w:val="00B53AB9"/>
    <w:rsid w:val="00B62ECD"/>
    <w:rsid w:val="00B72F77"/>
    <w:rsid w:val="00BA05C5"/>
    <w:rsid w:val="00BD28B9"/>
    <w:rsid w:val="00BD29EC"/>
    <w:rsid w:val="00BD2BB0"/>
    <w:rsid w:val="00BE4D76"/>
    <w:rsid w:val="00BE70C8"/>
    <w:rsid w:val="00BF42F4"/>
    <w:rsid w:val="00C000B0"/>
    <w:rsid w:val="00C013D8"/>
    <w:rsid w:val="00C07488"/>
    <w:rsid w:val="00C1012D"/>
    <w:rsid w:val="00C1236A"/>
    <w:rsid w:val="00C16898"/>
    <w:rsid w:val="00C22DF6"/>
    <w:rsid w:val="00C23366"/>
    <w:rsid w:val="00C25229"/>
    <w:rsid w:val="00C34D1D"/>
    <w:rsid w:val="00C645C4"/>
    <w:rsid w:val="00C66AB0"/>
    <w:rsid w:val="00C74767"/>
    <w:rsid w:val="00C76CDE"/>
    <w:rsid w:val="00C83435"/>
    <w:rsid w:val="00C8596F"/>
    <w:rsid w:val="00C909FE"/>
    <w:rsid w:val="00C95868"/>
    <w:rsid w:val="00C96C28"/>
    <w:rsid w:val="00CA1CB1"/>
    <w:rsid w:val="00CC192D"/>
    <w:rsid w:val="00CF7625"/>
    <w:rsid w:val="00D006C1"/>
    <w:rsid w:val="00D05466"/>
    <w:rsid w:val="00D1082C"/>
    <w:rsid w:val="00D15CDC"/>
    <w:rsid w:val="00D27196"/>
    <w:rsid w:val="00D273C6"/>
    <w:rsid w:val="00D31F63"/>
    <w:rsid w:val="00D40E85"/>
    <w:rsid w:val="00D50F75"/>
    <w:rsid w:val="00D54600"/>
    <w:rsid w:val="00D604B3"/>
    <w:rsid w:val="00D636C1"/>
    <w:rsid w:val="00D644B9"/>
    <w:rsid w:val="00D65C2C"/>
    <w:rsid w:val="00D65EF2"/>
    <w:rsid w:val="00D71A86"/>
    <w:rsid w:val="00D817DF"/>
    <w:rsid w:val="00D87236"/>
    <w:rsid w:val="00D91D5D"/>
    <w:rsid w:val="00DB14CF"/>
    <w:rsid w:val="00DB3A18"/>
    <w:rsid w:val="00DD4453"/>
    <w:rsid w:val="00DD45F3"/>
    <w:rsid w:val="00DE0C01"/>
    <w:rsid w:val="00E206E6"/>
    <w:rsid w:val="00E21B43"/>
    <w:rsid w:val="00E27922"/>
    <w:rsid w:val="00E33CA8"/>
    <w:rsid w:val="00E36AFE"/>
    <w:rsid w:val="00E55C4C"/>
    <w:rsid w:val="00E57CEA"/>
    <w:rsid w:val="00E7596B"/>
    <w:rsid w:val="00E834AD"/>
    <w:rsid w:val="00E83733"/>
    <w:rsid w:val="00E90BD4"/>
    <w:rsid w:val="00EA2118"/>
    <w:rsid w:val="00EA60C7"/>
    <w:rsid w:val="00EB1910"/>
    <w:rsid w:val="00EB389E"/>
    <w:rsid w:val="00EB4CBB"/>
    <w:rsid w:val="00EC3F04"/>
    <w:rsid w:val="00ED0546"/>
    <w:rsid w:val="00EE3914"/>
    <w:rsid w:val="00EE3BB4"/>
    <w:rsid w:val="00EF3886"/>
    <w:rsid w:val="00EF47D7"/>
    <w:rsid w:val="00F03521"/>
    <w:rsid w:val="00F42959"/>
    <w:rsid w:val="00F43E4C"/>
    <w:rsid w:val="00F532A2"/>
    <w:rsid w:val="00F56853"/>
    <w:rsid w:val="00F6371F"/>
    <w:rsid w:val="00F66E7B"/>
    <w:rsid w:val="00F73DBC"/>
    <w:rsid w:val="00F84FF1"/>
    <w:rsid w:val="00FE35CF"/>
    <w:rsid w:val="00FE53A5"/>
    <w:rsid w:val="00FE79B4"/>
    <w:rsid w:val="00FE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2">
    <w:name w:val="heading 2"/>
    <w:basedOn w:val="a"/>
    <w:next w:val="a"/>
    <w:link w:val="20"/>
    <w:uiPriority w:val="9"/>
    <w:semiHidden/>
    <w:unhideWhenUsed/>
    <w:qFormat/>
    <w:rsid w:val="00CC19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2">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892AB4"/>
    <w:rPr>
      <w:color w:val="605E5C"/>
      <w:shd w:val="clear" w:color="auto" w:fill="E1DFDD"/>
    </w:rPr>
  </w:style>
  <w:style w:type="table" w:customStyle="1" w:styleId="GridTable1Light">
    <w:name w:val="Grid Table 1 Light"/>
    <w:basedOn w:val="a2"/>
    <w:uiPriority w:val="46"/>
    <w:rsid w:val="006E15F3"/>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a2"/>
    <w:uiPriority w:val="40"/>
    <w:rsid w:val="006E15F3"/>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0">
    <w:name w:val="Заголовок 2 Знак"/>
    <w:basedOn w:val="a1"/>
    <w:link w:val="2"/>
    <w:uiPriority w:val="9"/>
    <w:semiHidden/>
    <w:rsid w:val="00CC192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2">
    <w:name w:val="heading 2"/>
    <w:basedOn w:val="a"/>
    <w:next w:val="a"/>
    <w:link w:val="20"/>
    <w:uiPriority w:val="9"/>
    <w:semiHidden/>
    <w:unhideWhenUsed/>
    <w:qFormat/>
    <w:rsid w:val="00CC19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2">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892AB4"/>
    <w:rPr>
      <w:color w:val="605E5C"/>
      <w:shd w:val="clear" w:color="auto" w:fill="E1DFDD"/>
    </w:rPr>
  </w:style>
  <w:style w:type="table" w:customStyle="1" w:styleId="GridTable1Light">
    <w:name w:val="Grid Table 1 Light"/>
    <w:basedOn w:val="a2"/>
    <w:uiPriority w:val="46"/>
    <w:rsid w:val="006E15F3"/>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a2"/>
    <w:uiPriority w:val="40"/>
    <w:rsid w:val="006E15F3"/>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0">
    <w:name w:val="Заголовок 2 Знак"/>
    <w:basedOn w:val="a1"/>
    <w:link w:val="2"/>
    <w:uiPriority w:val="9"/>
    <w:semiHidden/>
    <w:rsid w:val="00CC19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64529">
      <w:bodyDiv w:val="1"/>
      <w:marLeft w:val="0"/>
      <w:marRight w:val="0"/>
      <w:marTop w:val="0"/>
      <w:marBottom w:val="0"/>
      <w:divBdr>
        <w:top w:val="none" w:sz="0" w:space="0" w:color="auto"/>
        <w:left w:val="none" w:sz="0" w:space="0" w:color="auto"/>
        <w:bottom w:val="none" w:sz="0" w:space="0" w:color="auto"/>
        <w:right w:val="none" w:sz="0" w:space="0" w:color="auto"/>
      </w:divBdr>
    </w:div>
    <w:div w:id="839321301">
      <w:bodyDiv w:val="1"/>
      <w:marLeft w:val="0"/>
      <w:marRight w:val="0"/>
      <w:marTop w:val="0"/>
      <w:marBottom w:val="0"/>
      <w:divBdr>
        <w:top w:val="none" w:sz="0" w:space="0" w:color="auto"/>
        <w:left w:val="none" w:sz="0" w:space="0" w:color="auto"/>
        <w:bottom w:val="none" w:sz="0" w:space="0" w:color="auto"/>
        <w:right w:val="none" w:sz="0" w:space="0" w:color="auto"/>
      </w:divBdr>
    </w:div>
    <w:div w:id="1026521330">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dac/stats/methodology.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stats.un.org/unsd/dnss/gp/fundprincipl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dac/stats/methodology.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ecd.org/dac/stats/methodology.htm" TargetMode="External"/><Relationship Id="rId4" Type="http://schemas.microsoft.com/office/2007/relationships/stylesWithEffects" Target="stylesWithEffects.xml"/><Relationship Id="rId9" Type="http://schemas.openxmlformats.org/officeDocument/2006/relationships/hyperlink" Target="https://www.oecd.org/dac/financing-sustainable-development/development-finance-standards/informationnoteonthedacdeflators.htm" TargetMode="External"/><Relationship Id="rId14" Type="http://schemas.openxmlformats.org/officeDocument/2006/relationships/hyperlink" Target="http://resourceirena.irena.org/gateway/dashboard/?topic=6&amp;subTopi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3C1B-B5CD-488A-B627-C27380FB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2322</Words>
  <Characters>13241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36</cp:revision>
  <dcterms:created xsi:type="dcterms:W3CDTF">2021-08-16T10:43:00Z</dcterms:created>
  <dcterms:modified xsi:type="dcterms:W3CDTF">2023-08-24T11:06:00Z</dcterms:modified>
</cp:coreProperties>
</file>