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061B3" w14:textId="77777777"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bookmarkStart w:id="0" w:name="_GoBack"/>
      <w:bookmarkEnd w:id="0"/>
    </w:p>
    <w:p w14:paraId="7C80EC1C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14:paraId="78EEF770" w14:textId="511D304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</w:t>
      </w:r>
      <w:r w:rsidR="00FC7314">
        <w:rPr>
          <w:rFonts w:eastAsia="Arial Unicode MS" w:cs="Times New Roman"/>
          <w:b/>
          <w:szCs w:val="24"/>
          <w:bdr w:val="nil"/>
          <w:lang w:eastAsia="ru-RU"/>
        </w:rPr>
        <w:t xml:space="preserve"> метаданных - версия формата 1.1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)</w:t>
      </w:r>
    </w:p>
    <w:p w14:paraId="02977AE7" w14:textId="77777777"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14:paraId="0852A319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14:paraId="6547ABE2" w14:textId="77777777" w:rsidR="00780F08" w:rsidRPr="005126D2" w:rsidRDefault="00780F08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5126D2" w:rsidRPr="005126D2">
        <w:rPr>
          <w:rFonts w:eastAsia="Arial Unicode MS" w:cs="Times New Roman"/>
          <w:szCs w:val="24"/>
          <w:bdr w:val="nil"/>
          <w:lang w:eastAsia="ru-RU"/>
        </w:rPr>
        <w:t>7</w:t>
      </w:r>
      <w:r w:rsidRPr="00A343D5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5126D2" w:rsidRPr="005126D2">
        <w:rPr>
          <w:rFonts w:eastAsia="Arial Unicode MS" w:cs="Times New Roman"/>
          <w:szCs w:val="24"/>
          <w:bdr w:val="nil"/>
          <w:lang w:eastAsia="ru-RU"/>
        </w:rPr>
        <w:t>Обеспечение доступа к недорогим, надежным, устойчивым и современным источникам энергии для всех.</w:t>
      </w:r>
    </w:p>
    <w:p w14:paraId="0999D79C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14:paraId="6DF1300B" w14:textId="77777777" w:rsidR="002F63E5" w:rsidRPr="005126D2" w:rsidRDefault="005126D2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5126D2">
        <w:rPr>
          <w:rFonts w:cs="Times New Roman"/>
          <w:szCs w:val="24"/>
        </w:rPr>
        <w:t>7</w:t>
      </w:r>
      <w:r w:rsidR="00780F08" w:rsidRPr="00A343D5">
        <w:rPr>
          <w:rFonts w:cs="Times New Roman"/>
          <w:szCs w:val="24"/>
        </w:rPr>
        <w:t>.</w:t>
      </w:r>
      <w:r w:rsidRPr="005126D2">
        <w:rPr>
          <w:rFonts w:cs="Times New Roman"/>
          <w:szCs w:val="24"/>
        </w:rPr>
        <w:t>1</w:t>
      </w:r>
      <w:r w:rsidR="00780F08" w:rsidRPr="00A343D5">
        <w:rPr>
          <w:rFonts w:cs="Times New Roman"/>
          <w:szCs w:val="24"/>
        </w:rPr>
        <w:t xml:space="preserve">.  </w:t>
      </w:r>
      <w:r w:rsidRPr="005126D2">
        <w:rPr>
          <w:rFonts w:cs="Times New Roman"/>
          <w:szCs w:val="24"/>
        </w:rPr>
        <w:t>К 2030 году обеспечить всеобщий доступ к недорогому, надежному и современному энергоснабжению.</w:t>
      </w:r>
    </w:p>
    <w:p w14:paraId="58CD14EC" w14:textId="77777777"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14:paraId="4EA8968C" w14:textId="77777777" w:rsidR="006677B0" w:rsidRPr="005126D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A343D5">
        <w:rPr>
          <w:rFonts w:cs="Times New Roman"/>
          <w:szCs w:val="24"/>
        </w:rPr>
        <w:t xml:space="preserve">Показатель </w:t>
      </w:r>
      <w:r w:rsidR="005126D2" w:rsidRPr="005126D2">
        <w:rPr>
          <w:rFonts w:cs="Times New Roman"/>
          <w:szCs w:val="24"/>
        </w:rPr>
        <w:t>7</w:t>
      </w:r>
      <w:r w:rsidR="00780F08" w:rsidRPr="00A343D5">
        <w:rPr>
          <w:rFonts w:cs="Times New Roman"/>
          <w:szCs w:val="24"/>
        </w:rPr>
        <w:t>.</w:t>
      </w:r>
      <w:r w:rsidR="005126D2" w:rsidRPr="005126D2">
        <w:rPr>
          <w:rFonts w:cs="Times New Roman"/>
          <w:szCs w:val="24"/>
        </w:rPr>
        <w:t>1</w:t>
      </w:r>
      <w:r w:rsidR="00465587">
        <w:rPr>
          <w:rFonts w:cs="Times New Roman"/>
          <w:szCs w:val="24"/>
        </w:rPr>
        <w:t>.</w:t>
      </w:r>
      <w:r w:rsidR="006677B0">
        <w:rPr>
          <w:rFonts w:cs="Times New Roman"/>
          <w:szCs w:val="24"/>
        </w:rPr>
        <w:t>2.</w:t>
      </w:r>
      <w:r w:rsidR="006677B0" w:rsidRPr="006677B0">
        <w:rPr>
          <w:rFonts w:cs="Times New Roman"/>
          <w:szCs w:val="24"/>
        </w:rPr>
        <w:t xml:space="preserve"> </w:t>
      </w:r>
      <w:r w:rsidR="005126D2" w:rsidRPr="005126D2">
        <w:rPr>
          <w:rFonts w:cs="Times New Roman"/>
          <w:szCs w:val="24"/>
        </w:rPr>
        <w:t>Доля населения, использующего в основном чистые виды топлива и технологии.</w:t>
      </w:r>
    </w:p>
    <w:p w14:paraId="34A45985" w14:textId="77777777"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 w:cs="Times New Roman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 данных</w:t>
      </w:r>
    </w:p>
    <w:p w14:paraId="200B02EF" w14:textId="2F41C1E8" w:rsidR="002540B1" w:rsidRPr="002540B1" w:rsidRDefault="00D17498" w:rsidP="002540B1">
      <w:pPr>
        <w:pStyle w:val="a0"/>
        <w:rPr>
          <w:lang w:eastAsia="ru-RU"/>
        </w:rPr>
      </w:pPr>
      <w:r>
        <w:rPr>
          <w:lang w:eastAsia="ru-RU"/>
        </w:rPr>
        <w:t>Не применимо</w:t>
      </w:r>
    </w:p>
    <w:p w14:paraId="617C4677" w14:textId="77777777"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14:paraId="77A8338B" w14:textId="2C1729B0" w:rsidR="00C8596F" w:rsidRPr="00A343D5" w:rsidRDefault="00E4414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31 </w:t>
      </w:r>
      <w:r w:rsidR="00FC7314">
        <w:rPr>
          <w:rFonts w:eastAsia="Arial Unicode MS" w:cs="Times New Roman"/>
          <w:szCs w:val="24"/>
          <w:bdr w:val="nil"/>
          <w:lang w:eastAsia="ru-RU"/>
        </w:rPr>
        <w:t>м</w:t>
      </w:r>
      <w:r w:rsidR="005126D2">
        <w:rPr>
          <w:rFonts w:eastAsia="Arial Unicode MS" w:cs="Times New Roman"/>
          <w:szCs w:val="24"/>
          <w:bdr w:val="nil"/>
          <w:lang w:eastAsia="ru-RU"/>
        </w:rPr>
        <w:t>арт</w:t>
      </w:r>
      <w:r>
        <w:rPr>
          <w:rFonts w:eastAsia="Arial Unicode MS" w:cs="Times New Roman"/>
          <w:szCs w:val="24"/>
          <w:bdr w:val="nil"/>
          <w:lang w:eastAsia="ru-RU"/>
        </w:rPr>
        <w:t>а</w:t>
      </w:r>
      <w:r w:rsidR="008501F4">
        <w:rPr>
          <w:rFonts w:eastAsia="Arial Unicode MS" w:cs="Times New Roman"/>
          <w:szCs w:val="24"/>
          <w:bdr w:val="nil"/>
          <w:lang w:eastAsia="ru-RU"/>
        </w:rPr>
        <w:t xml:space="preserve"> 202</w:t>
      </w:r>
      <w:r>
        <w:rPr>
          <w:rFonts w:eastAsia="Arial Unicode MS" w:cs="Times New Roman"/>
          <w:szCs w:val="24"/>
          <w:bdr w:val="nil"/>
          <w:lang w:eastAsia="ru-RU"/>
        </w:rPr>
        <w:t>3</w:t>
      </w:r>
    </w:p>
    <w:p w14:paraId="0ACE666B" w14:textId="77777777" w:rsidR="00C8596F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 xml:space="preserve">. Связанные показатели </w:t>
      </w:r>
    </w:p>
    <w:p w14:paraId="2B3BC15B" w14:textId="77777777" w:rsidR="002540B1" w:rsidRDefault="002540B1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eastAsia="ru-RU"/>
        </w:rPr>
      </w:pPr>
      <w:r>
        <w:rPr>
          <w:lang w:eastAsia="ru-RU"/>
        </w:rPr>
        <w:t>Показател</w:t>
      </w:r>
      <w:r w:rsidR="005126D2">
        <w:rPr>
          <w:lang w:eastAsia="ru-RU"/>
        </w:rPr>
        <w:t>ь 3.9.1:</w:t>
      </w:r>
      <w:r w:rsidRPr="002540B1">
        <w:rPr>
          <w:lang w:eastAsia="ru-RU"/>
        </w:rPr>
        <w:t xml:space="preserve"> </w:t>
      </w:r>
      <w:r w:rsidR="005126D2" w:rsidRPr="005126D2">
        <w:rPr>
          <w:lang w:eastAsia="ru-RU"/>
        </w:rPr>
        <w:t>Смертность от загрязнения воздуха в жилых помещениях и атмосферного воздуха</w:t>
      </w:r>
      <w:r w:rsidR="005126D2">
        <w:rPr>
          <w:lang w:eastAsia="ru-RU"/>
        </w:rPr>
        <w:t>.</w:t>
      </w:r>
    </w:p>
    <w:p w14:paraId="2E759986" w14:textId="77777777"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A343D5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A343D5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14:paraId="708F7EDF" w14:textId="77777777" w:rsidR="00F03521" w:rsidRPr="00120E95" w:rsidRDefault="005126D2" w:rsidP="00120E95">
      <w:pPr>
        <w:pStyle w:val="a0"/>
      </w:pPr>
      <w:r>
        <w:rPr>
          <w:rFonts w:cs="Times New Roman"/>
          <w:szCs w:val="24"/>
        </w:rPr>
        <w:t>Всемирная организация здравоохранения (ВОЗ).</w:t>
      </w:r>
    </w:p>
    <w:p w14:paraId="4C031F02" w14:textId="4103E9E5"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407EC0">
        <w:rPr>
          <w:b/>
          <w:color w:val="auto"/>
          <w:sz w:val="24"/>
          <w:szCs w:val="24"/>
          <w:lang w:val="ru-RU"/>
        </w:rPr>
        <w:t>Агентство-куратор</w:t>
      </w:r>
    </w:p>
    <w:p w14:paraId="2EC95C14" w14:textId="77777777" w:rsidR="00162B33" w:rsidRPr="00162B33" w:rsidRDefault="00957A62" w:rsidP="00162B33">
      <w:r w:rsidRPr="00162B33">
        <w:t>1.a. Организация</w:t>
      </w:r>
    </w:p>
    <w:p w14:paraId="7DDE489F" w14:textId="77777777" w:rsidR="00C013D8" w:rsidRPr="00120E95" w:rsidRDefault="00C013D8" w:rsidP="00C013D8">
      <w:pPr>
        <w:pStyle w:val="a0"/>
      </w:pPr>
      <w:r>
        <w:rPr>
          <w:rFonts w:cs="Times New Roman"/>
          <w:szCs w:val="24"/>
        </w:rPr>
        <w:t>Всемирная организация здравоохранения (ВОЗ).</w:t>
      </w:r>
    </w:p>
    <w:p w14:paraId="53950867" w14:textId="77777777" w:rsidR="00957A62" w:rsidRPr="00A343D5" w:rsidRDefault="00957A62" w:rsidP="00162B33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2. Определения, </w:t>
      </w:r>
      <w:r w:rsidR="00A41B68" w:rsidRPr="00A343D5">
        <w:rPr>
          <w:b/>
          <w:color w:val="auto"/>
          <w:sz w:val="24"/>
          <w:szCs w:val="24"/>
          <w:lang w:val="ru-RU"/>
        </w:rPr>
        <w:t>понятия</w:t>
      </w:r>
      <w:r w:rsidRPr="00A343D5">
        <w:rPr>
          <w:b/>
          <w:color w:val="auto"/>
          <w:sz w:val="24"/>
          <w:szCs w:val="24"/>
          <w:lang w:val="ru-RU"/>
        </w:rPr>
        <w:t xml:space="preserve"> и классификации</w:t>
      </w:r>
    </w:p>
    <w:p w14:paraId="17702F03" w14:textId="77777777" w:rsidR="00A41B68" w:rsidRPr="00A343D5" w:rsidRDefault="00957A62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Определения и </w:t>
      </w:r>
      <w:r w:rsidR="00A41B68" w:rsidRPr="00A343D5">
        <w:rPr>
          <w:color w:val="auto"/>
          <w:sz w:val="24"/>
          <w:szCs w:val="24"/>
          <w:lang w:val="ru-RU"/>
        </w:rPr>
        <w:t>понятия</w:t>
      </w:r>
    </w:p>
    <w:p w14:paraId="45C84687" w14:textId="1337E87C" w:rsidR="008A3A19" w:rsidRPr="001A0336" w:rsidRDefault="008A3A19" w:rsidP="006677B0">
      <w:pPr>
        <w:pStyle w:val="a0"/>
        <w:spacing w:after="200" w:line="276" w:lineRule="auto"/>
        <w:rPr>
          <w:rFonts w:cs="Times New Roman"/>
          <w:b/>
          <w:szCs w:val="24"/>
        </w:rPr>
      </w:pPr>
      <w:r w:rsidRPr="008A3A19">
        <w:rPr>
          <w:rFonts w:cs="Times New Roman"/>
          <w:b/>
          <w:szCs w:val="24"/>
        </w:rPr>
        <w:t>Определени</w:t>
      </w:r>
      <w:r w:rsidR="001A0336">
        <w:rPr>
          <w:rFonts w:cs="Times New Roman"/>
          <w:b/>
          <w:szCs w:val="24"/>
        </w:rPr>
        <w:t>е</w:t>
      </w:r>
      <w:r w:rsidR="00ED78C9">
        <w:rPr>
          <w:rFonts w:cs="Times New Roman"/>
          <w:b/>
          <w:szCs w:val="24"/>
        </w:rPr>
        <w:t>:</w:t>
      </w:r>
    </w:p>
    <w:p w14:paraId="2F468AFA" w14:textId="6EA849EC" w:rsidR="00C013D8" w:rsidRDefault="00ED78C9" w:rsidP="00ED78C9">
      <w:r>
        <w:t xml:space="preserve">Доля населения, использующего в основном чистые виды топлива и технологии, </w:t>
      </w:r>
      <w:r w:rsidR="00C013D8" w:rsidRPr="00C013D8">
        <w:t>рассчитывается как количество людей, использующих чистые виды топлива и технологии для приготовления пищи, отопления и освещения, деленное на общее население, занимающееся приготовлением пищи, отоплением и освещением, выраженное в процентах. «Чистая» энергия определяется целевыми показателями уровня выбросов и конкретным</w:t>
      </w:r>
      <w:r w:rsidR="009B2320">
        <w:t>и рекомендациями по топливу (т.</w:t>
      </w:r>
      <w:r w:rsidR="00C013D8" w:rsidRPr="00C013D8">
        <w:t xml:space="preserve">е. против необработанного угля и керосина), включенными в нормативное руководство «Рекомендации ВОЗ по качеству воздуха в помещениях: сжигание горючего в домашних условиях». </w:t>
      </w:r>
    </w:p>
    <w:p w14:paraId="404E5BCE" w14:textId="62DE9F35" w:rsidR="006677B0" w:rsidRPr="008A3A19" w:rsidRDefault="008A3A19" w:rsidP="00C013D8">
      <w:pPr>
        <w:rPr>
          <w:b/>
        </w:rPr>
      </w:pPr>
      <w:r>
        <w:rPr>
          <w:b/>
        </w:rPr>
        <w:t>Основные понятия</w:t>
      </w:r>
      <w:r w:rsidR="00ED78C9">
        <w:rPr>
          <w:b/>
        </w:rPr>
        <w:t>:</w:t>
      </w:r>
    </w:p>
    <w:p w14:paraId="1924D683" w14:textId="77777777" w:rsidR="00C013D8" w:rsidRPr="00C013D8" w:rsidRDefault="00C013D8" w:rsidP="00C013D8">
      <w:r w:rsidRPr="00C013D8">
        <w:t xml:space="preserve">В настоящее время глобальный сбор данных ориентирован на основное топливо, используемое для приготовления пищи, которое разделяется на твердые и нетвердые виды топлива, где твердые виды топлива считаются загрязняющими и несовременными, а нетвердое топливо считается чистым. </w:t>
      </w:r>
      <w:proofErr w:type="gramStart"/>
      <w:r w:rsidRPr="00C013D8">
        <w:t xml:space="preserve">Эта единственная мера отражает значительную часть недостатка доступа к чистым видам топлива для целей приготовления пищи, но при </w:t>
      </w:r>
      <w:r w:rsidRPr="00C013D8">
        <w:lastRenderedPageBreak/>
        <w:t>этом не представляет возможности собрать данные о типе устройства или технологии, которые используются для приготовления пищи, а также не позволяет охватить другие загрязняющие формы использования энергии в домашних условиях, такие как те, что используются для освещения и обогрева.</w:t>
      </w:r>
      <w:proofErr w:type="gramEnd"/>
    </w:p>
    <w:p w14:paraId="69C1378C" w14:textId="77777777" w:rsidR="00BD4EBD" w:rsidRDefault="00C013D8" w:rsidP="00C013D8">
      <w:r w:rsidRPr="00C013D8">
        <w:t>Новые, основанные на фактических данны</w:t>
      </w:r>
      <w:r w:rsidR="00A7394E">
        <w:t>х, руководящие указания ВОЗ (т.</w:t>
      </w:r>
      <w:r w:rsidRPr="00C013D8">
        <w:t>е. руководящие принципы ВОЗ для руководства принципов качества воздуха в помещениях: сжигание горючего в домашних условиях) подчеркиваю</w:t>
      </w:r>
      <w:r w:rsidR="007E6CE7">
        <w:t>т важность внимания</w:t>
      </w:r>
      <w:r w:rsidRPr="00C013D8">
        <w:t xml:space="preserve"> как к топливу, так и к технологиям для надлежащей защиты здоровья населения. Эти руководящие принципы предоставляют технические рекомендации в виде целевых показателей выбросов по тому, какие комбинации топлива и технологии (плита, лампа и т. д.) в доме относятся к чистой энергии. Эти рекомендации также рекомендуют не использовать необработанный уголь и препятство</w:t>
      </w:r>
      <w:r w:rsidR="0036079F">
        <w:t>вать использованию керосина (не</w:t>
      </w:r>
      <w:r w:rsidRPr="00C013D8">
        <w:t>твердого, но очень загрязняющего горючего топлива) в домашних условиях. Они также рекомендуют, чтобы все основные виды энергии для домашних хозяйств (например, для приготовления пищи, обогрева помещений, освещения) использовали эффективные виды топлива и комбинации технологий для о</w:t>
      </w:r>
      <w:r w:rsidR="00BD4EBD">
        <w:t>беспечения пользы для здоровья.</w:t>
      </w:r>
    </w:p>
    <w:p w14:paraId="35462FEA" w14:textId="347CD8FE" w:rsidR="00C013D8" w:rsidRDefault="00C013D8" w:rsidP="00C013D8">
      <w:r w:rsidRPr="00C013D8">
        <w:t>По этой причине согласно техническим рекомендациям в руководящих принципах ВОЗ, доступ к современному решению для целей приготовления пищи в домашних условиях будут определяться как «доступ к экологически чистым видам топлива и технологиям», а не как «доступ к нетвердому топливу». Этот сдвиг позволит обеспечить лучший подсчет показателей здоровья и других связанных положительных эффектов, а в дальнейшем, их реализацию.</w:t>
      </w:r>
    </w:p>
    <w:p w14:paraId="60A8F30E" w14:textId="77777777" w:rsidR="00407E4E" w:rsidRPr="00A343D5" w:rsidRDefault="00407E4E" w:rsidP="00C013D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 измерения</w:t>
      </w:r>
    </w:p>
    <w:p w14:paraId="4C815220" w14:textId="56E22409" w:rsidR="006677B0" w:rsidRDefault="00C013D8" w:rsidP="00F03521">
      <w:pPr>
        <w:pStyle w:val="a0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Процент</w:t>
      </w:r>
      <w:r w:rsidR="00CE66C3">
        <w:rPr>
          <w:rFonts w:eastAsia="Times New Roman" w:cs="Times New Roman"/>
          <w:szCs w:val="24"/>
          <w:lang w:eastAsia="en-GB"/>
        </w:rPr>
        <w:t xml:space="preserve"> (9%)</w:t>
      </w:r>
    </w:p>
    <w:p w14:paraId="18388100" w14:textId="77777777" w:rsidR="00707E86" w:rsidRPr="00F03521" w:rsidRDefault="00707E86" w:rsidP="00F03521">
      <w:pPr>
        <w:pStyle w:val="a0"/>
        <w:rPr>
          <w:lang w:eastAsia="en-GB"/>
        </w:rPr>
      </w:pPr>
    </w:p>
    <w:p w14:paraId="4AB99BA4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14:paraId="387A8036" w14:textId="22AE87FC" w:rsidR="00E85FEF" w:rsidRPr="00E85FEF" w:rsidRDefault="00E85FEF" w:rsidP="00E85FEF">
      <w:pPr>
        <w:pStyle w:val="MHeader2"/>
        <w:rPr>
          <w:color w:val="auto"/>
          <w:sz w:val="24"/>
          <w:szCs w:val="24"/>
          <w:lang w:val="ru-RU"/>
        </w:rPr>
      </w:pPr>
      <w:r w:rsidRPr="00E85FEF">
        <w:rPr>
          <w:color w:val="auto"/>
          <w:sz w:val="24"/>
          <w:szCs w:val="24"/>
          <w:lang w:val="ru-RU"/>
        </w:rPr>
        <w:t>Региональные и глобальные классификации относятся к перечню стандартных кодов стран или районов для статистического использования (M49), предоставленному Статистическим отделом Организации Объединенных Наций.</w:t>
      </w:r>
    </w:p>
    <w:p w14:paraId="4D94B6B9" w14:textId="77777777"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14:paraId="5D32B05F" w14:textId="77777777"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14:paraId="7CA50C31" w14:textId="77777777" w:rsidR="00711277" w:rsidRPr="00711277" w:rsidRDefault="00711277" w:rsidP="00711277">
      <w:r w:rsidRPr="00711277">
        <w:t>Первичные бытовые виды топлива и технологии, в частности, используемые для приготовления пищи, регулярно собираются на национальном уровне в большинстве стран с использованием переписей и обследований. Используемые обследования домашних хозяй</w:t>
      </w:r>
      <w:proofErr w:type="gramStart"/>
      <w:r w:rsidRPr="00711277">
        <w:t>ств вкл</w:t>
      </w:r>
      <w:proofErr w:type="gramEnd"/>
      <w:r w:rsidRPr="00711277">
        <w:t xml:space="preserve">ючают: Обследование демографических характеристик и состояния здоровья (DHS), поддерживаемое Агентством США по международному развитию (USAID); </w:t>
      </w:r>
      <w:proofErr w:type="spellStart"/>
      <w:r w:rsidRPr="00711277">
        <w:t>многоиндикаторные</w:t>
      </w:r>
      <w:proofErr w:type="spellEnd"/>
      <w:r w:rsidRPr="00711277">
        <w:t xml:space="preserve"> кластерные обследования (MICS), поддерживаемые Детским фондом Организации Объединенных Наций (ЮНИСЕФ); всемирные медико-санитарные обследования, поддерживаемые ВОЗ (WHS); и другие надежные и национально репрезентативные обследования стран. </w:t>
      </w:r>
    </w:p>
    <w:p w14:paraId="62D1B247" w14:textId="7CFCF50E" w:rsidR="00711277" w:rsidRPr="00711277" w:rsidRDefault="00711277" w:rsidP="00711277">
      <w:r w:rsidRPr="00711277">
        <w:t xml:space="preserve">Всемирная организация здравоохранения является учреждением, которое взяло на себя ответственность за сбор базы статистических данных о доступе к экологически чистым и </w:t>
      </w:r>
      <w:r w:rsidRPr="00711277">
        <w:lastRenderedPageBreak/>
        <w:t>загрязняющим видам топлива и технологиям, собранным из полного глобального обследования домашних хозяйств о способах приготовления пищи, отопления и освещения. В настоящее время база данных ВОЗ включает данные для 1</w:t>
      </w:r>
      <w:r>
        <w:t>7</w:t>
      </w:r>
      <w:r w:rsidR="00EB4BF7" w:rsidRPr="00EB4BF7">
        <w:t>1</w:t>
      </w:r>
      <w:r w:rsidRPr="00711277">
        <w:t xml:space="preserve"> стран</w:t>
      </w:r>
      <w:r w:rsidR="00EB4BF7">
        <w:t>ы</w:t>
      </w:r>
      <w:r w:rsidRPr="00711277">
        <w:t xml:space="preserve"> и одну территорию в области энергии, используемой для приготовления пищи, за период </w:t>
      </w:r>
      <w:r w:rsidR="00EB4BF7" w:rsidRPr="00711277">
        <w:t>19</w:t>
      </w:r>
      <w:r w:rsidR="00EB4BF7">
        <w:t>6</w:t>
      </w:r>
      <w:r w:rsidR="00EB4BF7" w:rsidRPr="00711277">
        <w:t>0</w:t>
      </w:r>
      <w:r w:rsidR="00FD0C77">
        <w:t>-</w:t>
      </w:r>
      <w:r w:rsidR="00EB4BF7" w:rsidRPr="00711277">
        <w:t>2020 годов</w:t>
      </w:r>
      <w:r w:rsidRPr="00711277">
        <w:t xml:space="preserve">, и регулярно обновляется и публикуется. Данные по энергии, используемой для освещения, в базу данных ВОЗ включены для </w:t>
      </w:r>
      <w:r>
        <w:t>125</w:t>
      </w:r>
      <w:r w:rsidRPr="00711277">
        <w:t xml:space="preserve"> стран за период </w:t>
      </w:r>
      <w:r w:rsidR="00EB4BF7" w:rsidRPr="00711277">
        <w:t>1963–2020 годов</w:t>
      </w:r>
      <w:r w:rsidRPr="00711277">
        <w:t xml:space="preserve">. Данные по энергии, используемой для отопления, включает данные для </w:t>
      </w:r>
      <w:r>
        <w:t>71</w:t>
      </w:r>
      <w:r w:rsidRPr="00711277">
        <w:t xml:space="preserve"> стран за период с 19</w:t>
      </w:r>
      <w:r>
        <w:t>77</w:t>
      </w:r>
      <w:r w:rsidRPr="00711277">
        <w:t xml:space="preserve"> по 20</w:t>
      </w:r>
      <w:r>
        <w:t>20</w:t>
      </w:r>
      <w:r w:rsidRPr="00711277">
        <w:t xml:space="preserve"> год.</w:t>
      </w:r>
    </w:p>
    <w:p w14:paraId="21B13F03" w14:textId="77777777" w:rsidR="00711277" w:rsidRDefault="00711277" w:rsidP="00711277">
      <w:r w:rsidRPr="00711277">
        <w:t xml:space="preserve">В настоящее время ВОЗ работает с национальными агентствами по проведению опросов, </w:t>
      </w:r>
      <w:proofErr w:type="spellStart"/>
      <w:r w:rsidRPr="00711277">
        <w:t>страновыми</w:t>
      </w:r>
      <w:proofErr w:type="spellEnd"/>
      <w:r w:rsidRPr="00711277">
        <w:t xml:space="preserve"> статистическими управлениями и другими заинтересованными сторонами (например, исследователями) в целях совершенствования многоцелевых инструментов обследования домашних хозяй</w:t>
      </w:r>
      <w:proofErr w:type="gramStart"/>
      <w:r w:rsidRPr="00711277">
        <w:t>ств дл</w:t>
      </w:r>
      <w:proofErr w:type="gramEnd"/>
      <w:r w:rsidRPr="00711277">
        <w:t xml:space="preserve">я сбора данных о топливе и технологиях, используемых для отопления и освещения. </w:t>
      </w:r>
    </w:p>
    <w:p w14:paraId="27CB1B2D" w14:textId="77777777" w:rsidR="007D5E35" w:rsidRDefault="007D5E35" w:rsidP="007D5E35">
      <w:r w:rsidRPr="007D5E35">
        <w:t xml:space="preserve">В 2020 году </w:t>
      </w:r>
      <w:r w:rsidR="00FE7F68">
        <w:t>после</w:t>
      </w:r>
      <w:r w:rsidRPr="007D5E35">
        <w:t xml:space="preserve"> процесса усовершенствования обзора сбор данных для базы данных по приготовлению пищи включал основное топливо для приготовления пищи, вытяжные системы (дымоход или вентилятор), технологию приготовления пищи и место для приготовления пищи. Сбор данных по освещению </w:t>
      </w:r>
      <w:r w:rsidR="00FE7F68">
        <w:t>включал</w:t>
      </w:r>
      <w:r w:rsidRPr="007D5E35">
        <w:t xml:space="preserve"> основно</w:t>
      </w:r>
      <w:r w:rsidR="00FE7F68">
        <w:t>е</w:t>
      </w:r>
      <w:r w:rsidRPr="007D5E35">
        <w:t xml:space="preserve"> топлив</w:t>
      </w:r>
      <w:r w:rsidR="00FE7F68">
        <w:t>о</w:t>
      </w:r>
      <w:r w:rsidRPr="007D5E35">
        <w:t xml:space="preserve"> для освещения. Сбор данных для базы данных по отоплению включал основное топливо для отопления, а также технологию отопления.</w:t>
      </w:r>
    </w:p>
    <w:p w14:paraId="35DE52F5" w14:textId="77777777" w:rsidR="007D5E35" w:rsidRPr="007D5E35" w:rsidRDefault="007D5E35" w:rsidP="007D5E35">
      <w:pPr>
        <w:pStyle w:val="a0"/>
      </w:pPr>
    </w:p>
    <w:p w14:paraId="2D215107" w14:textId="77777777" w:rsidR="00995788" w:rsidRPr="00A343D5" w:rsidRDefault="000A229E" w:rsidP="00711277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Метод сбора данных</w:t>
      </w:r>
    </w:p>
    <w:p w14:paraId="722E5314" w14:textId="77777777" w:rsidR="00DB3A18" w:rsidRPr="00DB3A18" w:rsidRDefault="00DB3A18" w:rsidP="006F5EC4">
      <w:r w:rsidRPr="00DB3A18">
        <w:t>Собранные обследования репрезентативны на национальном уровне и содержат данные на уровне домохозяйств или населения.</w:t>
      </w:r>
    </w:p>
    <w:p w14:paraId="763628CA" w14:textId="4E066D18" w:rsidR="006F5EC4" w:rsidRPr="006F5EC4" w:rsidRDefault="006F5EC4" w:rsidP="006F5EC4">
      <w:r w:rsidRPr="006F5EC4">
        <w:t xml:space="preserve">Типичные вопросы опроса о приготовлении пищи включают: </w:t>
      </w:r>
      <w:proofErr w:type="gramStart"/>
      <w:r w:rsidR="00043C54">
        <w:t>«</w:t>
      </w:r>
      <w:r w:rsidRPr="006F5EC4">
        <w:t>Основное топливо, используемое для приготовления пищи</w:t>
      </w:r>
      <w:r w:rsidR="00043C54">
        <w:t>»</w:t>
      </w:r>
      <w:r w:rsidRPr="006F5EC4">
        <w:t xml:space="preserve">, </w:t>
      </w:r>
      <w:r w:rsidR="00043C54">
        <w:t>«</w:t>
      </w:r>
      <w:r w:rsidRPr="006F5EC4">
        <w:t>Какой основной источник топлива для приготовления пищи в вашем домашнем хозяйстве?</w:t>
      </w:r>
      <w:r w:rsidR="00043C54">
        <w:t>»</w:t>
      </w:r>
      <w:r w:rsidRPr="006F5EC4">
        <w:t xml:space="preserve">, </w:t>
      </w:r>
      <w:r w:rsidR="00043C54">
        <w:t>«</w:t>
      </w:r>
      <w:r w:rsidRPr="006F5EC4">
        <w:t>Какой тип топлива в вашем домашнем хозяйстве в основном используется для приготовления пищи?</w:t>
      </w:r>
      <w:r w:rsidR="00902C4F">
        <w:t>»</w:t>
      </w:r>
      <w:r w:rsidRPr="006F5EC4">
        <w:t xml:space="preserve">, </w:t>
      </w:r>
      <w:r w:rsidR="00902C4F">
        <w:t>«</w:t>
      </w:r>
      <w:r w:rsidRPr="006F5EC4">
        <w:t>Какой основной источник энергии для приготовления пищи?</w:t>
      </w:r>
      <w:r w:rsidR="00902C4F">
        <w:t>»</w:t>
      </w:r>
      <w:r w:rsidRPr="006F5EC4">
        <w:t xml:space="preserve">, </w:t>
      </w:r>
      <w:r w:rsidR="00902C4F">
        <w:t>«</w:t>
      </w:r>
      <w:r w:rsidRPr="006F5EC4">
        <w:t>В вашем домашнем хозяйстве какой тип кухонной плиты в основном используется для приготовления пищи?</w:t>
      </w:r>
      <w:r w:rsidR="00902C4F">
        <w:t>»</w:t>
      </w:r>
      <w:r w:rsidRPr="006F5EC4">
        <w:t>.</w:t>
      </w:r>
      <w:proofErr w:type="gramEnd"/>
    </w:p>
    <w:p w14:paraId="16C7B769" w14:textId="395BD89E" w:rsidR="006F5EC4" w:rsidRPr="006F5EC4" w:rsidRDefault="006F5EC4" w:rsidP="006F5EC4">
      <w:r w:rsidRPr="006F5EC4">
        <w:t xml:space="preserve">Типичные вопросы обследования системы отопления включают: </w:t>
      </w:r>
      <w:r w:rsidR="007049EB">
        <w:t>«</w:t>
      </w:r>
      <w:r w:rsidRPr="006F5EC4">
        <w:t>Основное топливо, используемое для отопления</w:t>
      </w:r>
      <w:r w:rsidR="007049EB">
        <w:t>»</w:t>
      </w:r>
      <w:r w:rsidRPr="006F5EC4">
        <w:t xml:space="preserve">, </w:t>
      </w:r>
      <w:r w:rsidR="007049EB">
        <w:t>«</w:t>
      </w:r>
      <w:r w:rsidRPr="006F5EC4">
        <w:t>Какой тип топлива и источника энергии используется в обогревателе?</w:t>
      </w:r>
      <w:r w:rsidR="00D155A5">
        <w:t>»</w:t>
      </w:r>
      <w:r w:rsidRPr="006F5EC4">
        <w:t xml:space="preserve">, </w:t>
      </w:r>
      <w:r w:rsidR="00D155A5">
        <w:t>«</w:t>
      </w:r>
      <w:r w:rsidRPr="006F5EC4">
        <w:t>Что в основном используется вашим домашним хозяйством для обогрева помещений, когда это необходимо?</w:t>
      </w:r>
      <w:r w:rsidR="00D155A5">
        <w:t>»</w:t>
      </w:r>
    </w:p>
    <w:p w14:paraId="06D3EB86" w14:textId="27181196" w:rsidR="006F5EC4" w:rsidRDefault="006F5EC4" w:rsidP="006F5EC4">
      <w:r w:rsidRPr="006F5EC4">
        <w:t xml:space="preserve">Типичные вопросы опроса по освещению включают: </w:t>
      </w:r>
      <w:r w:rsidR="004811F4">
        <w:t>«</w:t>
      </w:r>
      <w:r w:rsidRPr="006F5EC4">
        <w:t>Основное топлива для освещения</w:t>
      </w:r>
      <w:r w:rsidR="004811F4">
        <w:t>»</w:t>
      </w:r>
      <w:r w:rsidRPr="006F5EC4">
        <w:t xml:space="preserve">, </w:t>
      </w:r>
      <w:r w:rsidR="004811F4">
        <w:t>«</w:t>
      </w:r>
      <w:r w:rsidRPr="006F5EC4">
        <w:t>Ночью, что в основном используется вашим домашним хозяйством для освещения?</w:t>
      </w:r>
      <w:r w:rsidR="004811F4">
        <w:t>»</w:t>
      </w:r>
      <w:r w:rsidR="00E34C59">
        <w:t>.</w:t>
      </w:r>
    </w:p>
    <w:p w14:paraId="0AFF25E3" w14:textId="3415101E" w:rsidR="009E707C" w:rsidRDefault="009E707C" w:rsidP="006F5EC4">
      <w:pPr>
        <w:pStyle w:val="MHeader2"/>
        <w:rPr>
          <w:b/>
          <w:color w:val="auto"/>
          <w:sz w:val="24"/>
          <w:szCs w:val="24"/>
          <w:lang w:val="ru-RU"/>
        </w:rPr>
      </w:pPr>
      <w:r w:rsidRPr="009E707C">
        <w:rPr>
          <w:color w:val="auto"/>
          <w:sz w:val="24"/>
          <w:szCs w:val="24"/>
          <w:lang w:val="ru-RU"/>
        </w:rPr>
        <w:t>3.</w:t>
      </w:r>
      <w:r w:rsidR="00900860">
        <w:rPr>
          <w:color w:val="auto"/>
          <w:sz w:val="24"/>
          <w:szCs w:val="24"/>
          <w:lang w:val="ru-RU"/>
        </w:rPr>
        <w:t>с</w:t>
      </w:r>
      <w:r w:rsidRPr="009E707C">
        <w:rPr>
          <w:b/>
          <w:color w:val="auto"/>
          <w:sz w:val="24"/>
          <w:szCs w:val="24"/>
          <w:lang w:val="ru-RU"/>
        </w:rPr>
        <w:t>.</w:t>
      </w:r>
      <w:r w:rsidR="00900860">
        <w:rPr>
          <w:b/>
          <w:color w:val="auto"/>
          <w:sz w:val="24"/>
          <w:szCs w:val="24"/>
          <w:lang w:val="ru-RU"/>
        </w:rPr>
        <w:t xml:space="preserve"> </w:t>
      </w:r>
      <w:r w:rsidRPr="009E707C">
        <w:rPr>
          <w:b/>
          <w:color w:val="auto"/>
          <w:sz w:val="24"/>
          <w:szCs w:val="24"/>
          <w:lang w:val="ru-RU"/>
        </w:rPr>
        <w:t xml:space="preserve">Календарь </w:t>
      </w:r>
      <w:r>
        <w:rPr>
          <w:b/>
          <w:color w:val="auto"/>
          <w:sz w:val="24"/>
          <w:szCs w:val="24"/>
          <w:lang w:val="ru-RU"/>
        </w:rPr>
        <w:t>сбора</w:t>
      </w:r>
      <w:r w:rsidRPr="009E707C">
        <w:rPr>
          <w:b/>
          <w:color w:val="auto"/>
          <w:sz w:val="24"/>
          <w:szCs w:val="24"/>
          <w:lang w:val="ru-RU"/>
        </w:rPr>
        <w:t xml:space="preserve"> данных</w:t>
      </w:r>
    </w:p>
    <w:p w14:paraId="043DCB25" w14:textId="689A5633" w:rsidR="000A229E" w:rsidRPr="00A343D5" w:rsidRDefault="00102CC7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102CC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Следующий раунд сбора данных запланирован на вторую половину 2022 года. </w:t>
      </w:r>
      <w:r w:rsidR="009E707C">
        <w:rPr>
          <w:color w:val="auto"/>
          <w:sz w:val="24"/>
          <w:szCs w:val="24"/>
          <w:lang w:val="ru-RU"/>
        </w:rPr>
        <w:t>3</w:t>
      </w:r>
      <w:r w:rsidR="000A229E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color w:val="auto"/>
          <w:sz w:val="24"/>
          <w:szCs w:val="24"/>
        </w:rPr>
        <w:t>d</w:t>
      </w:r>
      <w:r w:rsidR="003A389C" w:rsidRPr="00A343D5">
        <w:rPr>
          <w:color w:val="auto"/>
          <w:sz w:val="24"/>
          <w:szCs w:val="24"/>
          <w:lang w:val="ru-RU"/>
        </w:rPr>
        <w:t>.</w:t>
      </w:r>
      <w:r w:rsidR="000A229E" w:rsidRPr="00A343D5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14:paraId="780EDFDB" w14:textId="6DAED1C3" w:rsidR="00102CC7" w:rsidRDefault="00102CC7" w:rsidP="00C1236A">
      <w:pPr>
        <w:pStyle w:val="MHeader2"/>
        <w:spacing w:line="276" w:lineRule="auto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102CC7">
        <w:rPr>
          <w:rFonts w:eastAsiaTheme="minorHAnsi" w:cstheme="minorBidi"/>
          <w:color w:val="auto"/>
          <w:sz w:val="24"/>
          <w:szCs w:val="22"/>
          <w:lang w:val="ru-RU" w:eastAsia="en-US"/>
        </w:rPr>
        <w:t>Ежегодный выпуск новых данных по ЦУР</w:t>
      </w:r>
      <w:r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 </w:t>
      </w:r>
      <w:r w:rsidRPr="00102CC7">
        <w:rPr>
          <w:rFonts w:eastAsiaTheme="minorHAnsi" w:cstheme="minorBidi"/>
          <w:color w:val="auto"/>
          <w:sz w:val="24"/>
          <w:szCs w:val="22"/>
          <w:lang w:val="ru-RU" w:eastAsia="en-US"/>
        </w:rPr>
        <w:t xml:space="preserve">7.1.1 обычно приходится на май. </w:t>
      </w:r>
    </w:p>
    <w:p w14:paraId="0BB61116" w14:textId="25D50433" w:rsidR="000A229E" w:rsidRPr="00A343D5" w:rsidRDefault="000A229E" w:rsidP="00C1236A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14:paraId="19F59887" w14:textId="77777777" w:rsidR="00C96C28" w:rsidRDefault="00C96C28" w:rsidP="00C96C28">
      <w:r w:rsidRPr="00C96C28">
        <w:lastRenderedPageBreak/>
        <w:t>Национальные статистические управления или любые национальные провайдеры обследований домашних хозяйств и переписей.</w:t>
      </w:r>
    </w:p>
    <w:p w14:paraId="7DE93FFE" w14:textId="77777777" w:rsidR="000A229E" w:rsidRPr="00A343D5" w:rsidRDefault="000A229E" w:rsidP="00C96C2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14:paraId="7848E204" w14:textId="77777777" w:rsidR="00C96C28" w:rsidRDefault="00C96C28" w:rsidP="00C96C28">
      <w:r w:rsidRPr="00C96C28">
        <w:t>ВОЗ, Департамент окружающей среды, изменения климата и здравоохранения (ECH).</w:t>
      </w:r>
    </w:p>
    <w:p w14:paraId="1F139F47" w14:textId="77777777"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14:paraId="033372FA" w14:textId="3F0CC621" w:rsidR="003222D7" w:rsidRPr="003222D7" w:rsidRDefault="003222D7" w:rsidP="003222D7">
      <w:pPr>
        <w:pStyle w:val="MHeader2"/>
        <w:rPr>
          <w:color w:val="auto"/>
          <w:sz w:val="24"/>
          <w:szCs w:val="24"/>
          <w:lang w:val="ru-RU"/>
        </w:rPr>
      </w:pPr>
      <w:proofErr w:type="gramStart"/>
      <w:r w:rsidRPr="003222D7">
        <w:rPr>
          <w:color w:val="auto"/>
          <w:sz w:val="24"/>
          <w:szCs w:val="24"/>
          <w:lang w:val="ru-RU"/>
        </w:rPr>
        <w:t>Наряду с учреждениями-хранителями ЦУР 7, включая Международное энергетическое агентство (МЭА), Международное агентство по возобновляемым источникам энергии (IRENA), Статистический отдел Организации Объединенных Наций (СОООН) и Всемирный банк (ВБ), Всемирная организация здравоохранения назначена Статистической комиссией ООН для сбора, обработки и распространения данных с региональными и глобальными агрегатами в отношении п</w:t>
      </w:r>
      <w:r w:rsidR="009926D9">
        <w:rPr>
          <w:color w:val="auto"/>
          <w:sz w:val="24"/>
          <w:szCs w:val="24"/>
          <w:lang w:val="ru-RU"/>
        </w:rPr>
        <w:t xml:space="preserve">рогресса в достижении целей ЦУР </w:t>
      </w:r>
      <w:r w:rsidRPr="003222D7">
        <w:rPr>
          <w:color w:val="auto"/>
          <w:sz w:val="24"/>
          <w:szCs w:val="24"/>
          <w:lang w:val="ru-RU"/>
        </w:rPr>
        <w:t>7.</w:t>
      </w:r>
      <w:proofErr w:type="gramEnd"/>
      <w:r w:rsidRPr="003222D7">
        <w:rPr>
          <w:color w:val="auto"/>
          <w:sz w:val="24"/>
          <w:szCs w:val="24"/>
          <w:lang w:val="ru-RU"/>
        </w:rPr>
        <w:t xml:space="preserve"> В процессе обновления и распространения оценок экологически чистого приготовления ВОЗ отвечает за проведение консультаций с учреждениями, ответственными за достижение ЦУР 7, национальными статистическими агентствами и региональными комиссиями ООН.</w:t>
      </w:r>
    </w:p>
    <w:p w14:paraId="4ED228F4" w14:textId="77777777" w:rsidR="002E15F9" w:rsidRPr="00A343D5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14:paraId="6F7A0163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14:paraId="3694309F" w14:textId="77777777" w:rsidR="00C96C28" w:rsidRPr="00C96C28" w:rsidRDefault="00C96C28" w:rsidP="00C96C28">
      <w:r w:rsidRPr="00C96C28">
        <w:t>Приготовление пищи, освещение и отопление представляют собой значительную долю потребления энергии в домашних хозяйствах в странах с низким и средним уровнем дохода. Для приготовления пищи и отопления домашние хозяйства обычно полагаются на твердое топливо (например, дерево, древесный уголь, биомасса) или керосин в сочетании с неэффективными технологиями (например, открытые очаги, печи, обогреватели или лампы). Хорошо известно, что использование такой неэффективной энергии для приготовления пищи, отопления и освещения связано с высоким уровнем загрязнения воздуха в домашних условиях (в помещении). По оценкам, одно лишь только использование неэффективного топлива для приготовления пищи приводит к более 4 миллионам смертей ежегодно, главным образом среди женщин и детей. Это больше, чем от туберкулеза, ВИЧ и малярии вместе взятых. Этих неблагоприятных последствий для здоровья можно избежать, применяя чистые виды топлива и технологии для всех основных бытовых энергоносителей или в некоторых случаях, используя усовершенствованные печи (т.е. те, которые достигают целевых показателей выбросов, предусмотренных руководящими принципами ВОЗ) и принимают строгие протоколы для их безопасного использования. Учитывая важность чистого и безопасного использования энергии для домашних хозяй</w:t>
      </w:r>
      <w:proofErr w:type="gramStart"/>
      <w:r w:rsidRPr="00C96C28">
        <w:t>ств дл</w:t>
      </w:r>
      <w:proofErr w:type="gramEnd"/>
      <w:r w:rsidRPr="00C96C28">
        <w:t xml:space="preserve">я развития человечества, всеобщий доступ к энергии среди сообщества технических специалистов в настоящее время рассматривается как доступ к электричеству и чистым видам топлива и технологиям для приготовления пищи, отопления и освещения. По этой причине приготовление пищи с использованием «чистой» энергии является частью цели универсального доступа в рамках инициативы Генерального секретаря ООН «Устойчивая энергетика для всех». </w:t>
      </w:r>
    </w:p>
    <w:p w14:paraId="6E1A0EC3" w14:textId="77777777" w:rsidR="002E15F9" w:rsidRPr="00A343D5" w:rsidRDefault="002E15F9" w:rsidP="00C96C2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14:paraId="78B54838" w14:textId="77777777" w:rsidR="00C96C28" w:rsidRPr="00C96C28" w:rsidRDefault="00C96C28" w:rsidP="00C96C28">
      <w:proofErr w:type="gramStart"/>
      <w:r w:rsidRPr="00C96C28">
        <w:t xml:space="preserve">Индикатор использует тип первичных видов топлива и технологий, используемых для приготовления пищи, отопления и освещения, в качестве практического заменителя для </w:t>
      </w:r>
      <w:r w:rsidRPr="00C96C28">
        <w:lastRenderedPageBreak/>
        <w:t>оценки воздействия на организм человека (внутреннего) загрязнения воздуха и связанного с ним бремени болезней, поскольку в настоящее время невозможно получать на национальном уровне репрезентативные образцы концентраций загрязняющих веществ в помещениях, таких как мелкодисперсные частицы и окиси углерода.</w:t>
      </w:r>
      <w:proofErr w:type="gramEnd"/>
      <w:r w:rsidRPr="00C96C28">
        <w:t xml:space="preserve"> Однако эпидемиологические исследования предоставляют научно обоснованные доказательства для установления этих оценок с использованием этих заменителей. </w:t>
      </w:r>
    </w:p>
    <w:p w14:paraId="5DA0966F" w14:textId="77777777" w:rsidR="00C96C28" w:rsidRPr="00C96C28" w:rsidRDefault="00C96C28" w:rsidP="00C96C28">
      <w:r w:rsidRPr="00C96C28">
        <w:t xml:space="preserve">Индикатор основан на основном типе топлива и технологии, используемых для приготовления пищи, поскольку приготовление пищи занимает наибольшую долю общих потребностей в энергии домашних хозяйств. Тем не менее, многие домохозяйства используют более одного типа топлива и плиты для приготовления пищи, и, в зависимости от климатических и географических условий, отопление загрязняющим топливом может также вносить вклад в уровень загрязнения воздуха в домашних условиях (в помещении). Кроме того, керосин, очень загрязняющее и опасное топливо, часто используется для освещения, а в некоторых странах он также является основном топливом, используемым для приготовления пищи. </w:t>
      </w:r>
    </w:p>
    <w:p w14:paraId="74B81788" w14:textId="6AB34D58" w:rsidR="00C96C28" w:rsidRPr="00C96C28" w:rsidRDefault="00C96C28" w:rsidP="006D59D0">
      <w:r w:rsidRPr="00C96C28">
        <w:t xml:space="preserve">Хотя существующая глобальная база данных обследований домашних хозяйств является хорошей отправной точкой для отслеживания доступа к энергии, используемой для приготовления пищи, в домашних хозяйствах, она также представляет ряд ограничений, которые необходимо будет решать с течением времени. В настоящее время имеется ограниченное количество доступных данных, которые фиксируют тип топлива и устройств, используемых в доме для отопления и освещения. </w:t>
      </w:r>
      <w:proofErr w:type="gramStart"/>
      <w:r w:rsidRPr="00C96C28">
        <w:t xml:space="preserve">Соответственно, ВОЗ в сотрудничестве </w:t>
      </w:r>
      <w:r w:rsidR="00C8163F" w:rsidRPr="00C96C28">
        <w:t>с</w:t>
      </w:r>
      <w:r w:rsidRPr="00C96C28">
        <w:t xml:space="preserve"> Всемирным банком и </w:t>
      </w:r>
      <w:r w:rsidR="00C8163F" w:rsidRPr="00C8163F">
        <w:t>Глобальны</w:t>
      </w:r>
      <w:r w:rsidR="00C8163F">
        <w:t>м</w:t>
      </w:r>
      <w:r w:rsidR="00C8163F" w:rsidRPr="00C8163F">
        <w:t xml:space="preserve"> альянс</w:t>
      </w:r>
      <w:r w:rsidR="00C8163F">
        <w:t>ом</w:t>
      </w:r>
      <w:r w:rsidR="00C8163F" w:rsidRPr="00C8163F">
        <w:t xml:space="preserve"> за</w:t>
      </w:r>
      <w:r w:rsidR="00C8163F">
        <w:t xml:space="preserve"> экологические</w:t>
      </w:r>
      <w:r w:rsidR="00C8163F" w:rsidRPr="00C8163F">
        <w:t xml:space="preserve"> чистые кухонные плиты</w:t>
      </w:r>
      <w:r w:rsidRPr="00C96C28">
        <w:t xml:space="preserve"> ведет процесс улучшения обследований с участием представителей страновых статистических управлений и национальных агентств по обследованию домашних хозяйств (например, демографическое и медицинское обследование, </w:t>
      </w:r>
      <w:proofErr w:type="spellStart"/>
      <w:r w:rsidRPr="00C96C28">
        <w:t>многоиндикаторные</w:t>
      </w:r>
      <w:proofErr w:type="spellEnd"/>
      <w:r w:rsidRPr="00C96C28">
        <w:t xml:space="preserve"> кластерные обследов</w:t>
      </w:r>
      <w:r w:rsidR="008B47E0">
        <w:t>ания, обследование уровня жизни</w:t>
      </w:r>
      <w:r w:rsidRPr="00C96C28">
        <w:t xml:space="preserve">), </w:t>
      </w:r>
      <w:r w:rsidR="006D59D0">
        <w:t>ч</w:t>
      </w:r>
      <w:r w:rsidRPr="00C96C28">
        <w:t>тобы лучше собирать эффективно и гармонично информацию о топливе и технологиях для приготовления пищи, отопления и освещения</w:t>
      </w:r>
      <w:proofErr w:type="gramEnd"/>
      <w:r w:rsidRPr="00C96C28">
        <w:t xml:space="preserve">. </w:t>
      </w:r>
      <w:r w:rsidR="006D59D0">
        <w:t xml:space="preserve">Эти усилия завершились созданием 6 новых вопросов, которые заменят и немного расширят текущий набор вопросов, обычно используемых в национальных многоцелевых обследованиях для оценки энергопотребления домашних хозяйств. </w:t>
      </w:r>
    </w:p>
    <w:p w14:paraId="556BBC3C" w14:textId="080C992C" w:rsidR="00C96C28" w:rsidRDefault="00C96C28" w:rsidP="00C96C28">
      <w:r w:rsidRPr="00C96C28">
        <w:t xml:space="preserve">Значительный </w:t>
      </w:r>
      <w:proofErr w:type="gramStart"/>
      <w:r w:rsidRPr="00C96C28">
        <w:t>прогресс</w:t>
      </w:r>
      <w:proofErr w:type="gramEnd"/>
      <w:r w:rsidRPr="00C96C28">
        <w:t xml:space="preserve"> уже достигнут в направлении разработки и экспериментальной разработки новой методологии, известной как Многоуровневая рамочная программа для измерения доступа к энергии (Всемирный банк), которая способна обеспечить доступность и надежность доступа к энергии, явно упомянутую на языке ЦУР 7, и использует Нормативное руководство в руководящих принципах ВОЗ для определения уровней доступа к энергии. Методология для Многоуровневых рамок для измерения доступа к энергии уже опубликована на основе широкого консультативного мероприятия и представляет собой единый взгляд на многочисленные международные агентства, работающие на местах. </w:t>
      </w:r>
      <w:r w:rsidR="00614A77" w:rsidRPr="00614A77">
        <w:t>Представленные оценки на 2020 год включают данные, извлеченные из этих обследований</w:t>
      </w:r>
    </w:p>
    <w:p w14:paraId="21211F24" w14:textId="77777777" w:rsidR="00D273C6" w:rsidRDefault="002E15F9" w:rsidP="00C96C28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c</w:t>
      </w:r>
      <w:r w:rsidRPr="008501F4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Метод</w:t>
      </w:r>
      <w:r w:rsidR="00CA1CB1" w:rsidRPr="008501F4">
        <w:rPr>
          <w:b/>
          <w:color w:val="auto"/>
          <w:sz w:val="24"/>
          <w:szCs w:val="24"/>
          <w:lang w:val="ru-RU"/>
        </w:rPr>
        <w:t xml:space="preserve"> </w:t>
      </w:r>
      <w:r w:rsidR="00CA1CB1" w:rsidRPr="00A343D5">
        <w:rPr>
          <w:b/>
          <w:color w:val="auto"/>
          <w:sz w:val="24"/>
          <w:szCs w:val="24"/>
          <w:lang w:val="ru-RU"/>
        </w:rPr>
        <w:t>расчета</w:t>
      </w:r>
      <w:r w:rsidR="00CA1CB1" w:rsidRPr="008501F4">
        <w:rPr>
          <w:color w:val="auto"/>
          <w:sz w:val="24"/>
          <w:szCs w:val="24"/>
          <w:lang w:val="ru-RU"/>
        </w:rPr>
        <w:t xml:space="preserve"> </w:t>
      </w:r>
    </w:p>
    <w:p w14:paraId="0EB47DA6" w14:textId="77777777" w:rsidR="00C96C28" w:rsidRDefault="00C96C28" w:rsidP="00C96C28">
      <w:r>
        <w:lastRenderedPageBreak/>
        <w:t xml:space="preserve">Индикатор смоделирован на основе данных обследований домашних хозяйств, собранных ВОЗ. Информация об использовании топлива для приготовления пищи и методах приготовления пищи поступает из примерно 1440 общенациональных репрезентативных обследований и переписей. Источники обследования включают демографические и медицинские обследования (DHS) и обследования по измерению уровня жизни (LSMS), </w:t>
      </w:r>
      <w:proofErr w:type="spellStart"/>
      <w:r>
        <w:t>многоиндикаторные</w:t>
      </w:r>
      <w:proofErr w:type="spellEnd"/>
      <w:r>
        <w:t xml:space="preserve"> кластерные обследования (MICS), обследование состояния здоровья в мире (WHS) и другие обследования, разработанные и реализованные на национальном уровне.</w:t>
      </w:r>
    </w:p>
    <w:p w14:paraId="3D450D6A" w14:textId="77777777" w:rsidR="00C96C28" w:rsidRDefault="00C96C28" w:rsidP="00C96C28"/>
    <w:p w14:paraId="32884523" w14:textId="77777777" w:rsidR="005912B9" w:rsidRDefault="00C96C28" w:rsidP="00C96C28">
      <w:r>
        <w:t xml:space="preserve">Оценки первичной энергии для приготовления пищи для всего городского и сельского населения для данной страны и года получаются вместе с использованием одной многомерной иерархической модели. Используя данные обследования домашних хозяйств в качестве входных данных, модель совместно оценивает первичную зависимость от </w:t>
      </w:r>
      <w:r w:rsidR="005912B9">
        <w:t>6 конкретных видов топлива:</w:t>
      </w:r>
    </w:p>
    <w:p w14:paraId="0BB212D8" w14:textId="1E8DA5B7" w:rsidR="005912B9" w:rsidRDefault="00C96C28" w:rsidP="005912B9">
      <w:pPr>
        <w:pStyle w:val="ac"/>
        <w:numPr>
          <w:ilvl w:val="0"/>
          <w:numId w:val="4"/>
        </w:numPr>
      </w:pPr>
      <w:r>
        <w:t xml:space="preserve">необработанная </w:t>
      </w:r>
      <w:r w:rsidR="005912B9">
        <w:t>биомасса (например, древесина),</w:t>
      </w:r>
    </w:p>
    <w:p w14:paraId="7182AC5B" w14:textId="00E50CFD" w:rsidR="005912B9" w:rsidRDefault="005912B9" w:rsidP="005912B9">
      <w:pPr>
        <w:pStyle w:val="ac"/>
        <w:numPr>
          <w:ilvl w:val="0"/>
          <w:numId w:val="4"/>
        </w:numPr>
      </w:pPr>
      <w:r>
        <w:t>древесный уголь,</w:t>
      </w:r>
    </w:p>
    <w:p w14:paraId="06C78995" w14:textId="2303D41F" w:rsidR="005912B9" w:rsidRDefault="005912B9" w:rsidP="005912B9">
      <w:pPr>
        <w:pStyle w:val="ac"/>
        <w:numPr>
          <w:ilvl w:val="0"/>
          <w:numId w:val="4"/>
        </w:numPr>
      </w:pPr>
      <w:r>
        <w:t>уголь,</w:t>
      </w:r>
    </w:p>
    <w:p w14:paraId="1C0F1D01" w14:textId="2FFD3249" w:rsidR="005912B9" w:rsidRDefault="00C96C28" w:rsidP="005912B9">
      <w:pPr>
        <w:pStyle w:val="ac"/>
        <w:numPr>
          <w:ilvl w:val="0"/>
          <w:numId w:val="4"/>
        </w:numPr>
      </w:pPr>
      <w:r>
        <w:t>керосин,</w:t>
      </w:r>
    </w:p>
    <w:p w14:paraId="61E73482" w14:textId="199321A8" w:rsidR="005912B9" w:rsidRDefault="00C96C28" w:rsidP="005912B9">
      <w:pPr>
        <w:pStyle w:val="ac"/>
        <w:numPr>
          <w:ilvl w:val="0"/>
          <w:numId w:val="4"/>
        </w:numPr>
      </w:pPr>
      <w:r>
        <w:t>газообразное топливо (напр</w:t>
      </w:r>
      <w:r w:rsidR="005912B9">
        <w:t>имер, сжиженный нефтяной газ) и</w:t>
      </w:r>
    </w:p>
    <w:p w14:paraId="55D8BD9D" w14:textId="526F1096" w:rsidR="005912B9" w:rsidRDefault="00C96C28" w:rsidP="005912B9">
      <w:pPr>
        <w:pStyle w:val="ac"/>
        <w:numPr>
          <w:ilvl w:val="0"/>
          <w:numId w:val="4"/>
        </w:numPr>
      </w:pPr>
      <w:r>
        <w:t>электричество; и последняя категория, включающая другое чистое топливо (</w:t>
      </w:r>
      <w:r w:rsidR="005912B9">
        <w:t>например, спирт).</w:t>
      </w:r>
    </w:p>
    <w:p w14:paraId="1D20799F" w14:textId="1CCE2420" w:rsidR="00C96C28" w:rsidRDefault="00C96C28" w:rsidP="00C96C28">
      <w:r>
        <w:t xml:space="preserve">Затем оценки доли населения, в первую очередь полагающегося на чистые виды топлива и технологии (показатель 7.1.2 ЦУР), получают путем агрегирования оценок первичной зависимости от чистых видов топлива из модели. Подробная информация о модели опубликована </w:t>
      </w:r>
      <w:r w:rsidR="001D07BD">
        <w:t>в</w:t>
      </w:r>
      <w:r>
        <w:t xml:space="preserve"> </w:t>
      </w:r>
      <w:proofErr w:type="spellStart"/>
      <w:r>
        <w:t>Stoner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(20</w:t>
      </w:r>
      <w:r w:rsidR="00AB48B5">
        <w:t>20</w:t>
      </w:r>
      <w:r>
        <w:t>).</w:t>
      </w:r>
    </w:p>
    <w:p w14:paraId="01E681A3" w14:textId="0670F267" w:rsidR="00C96C28" w:rsidRDefault="00C96C28" w:rsidP="00C96C28">
      <w:r>
        <w:t xml:space="preserve">В анализ были включены только данные опроса, в котором менее 15% населения указали, что </w:t>
      </w:r>
      <w:r w:rsidR="008B47E0">
        <w:t>данные</w:t>
      </w:r>
      <w:r>
        <w:t xml:space="preserve"> «</w:t>
      </w:r>
      <w:r w:rsidR="008B47E0">
        <w:t>отсутствуют</w:t>
      </w:r>
      <w:r>
        <w:t xml:space="preserve">», </w:t>
      </w:r>
      <w:r w:rsidR="008B47E0">
        <w:t xml:space="preserve"> что </w:t>
      </w:r>
      <w:r>
        <w:t xml:space="preserve">«не готовили» </w:t>
      </w:r>
      <w:r w:rsidR="008B47E0">
        <w:t xml:space="preserve">или </w:t>
      </w:r>
      <w:r>
        <w:t>и</w:t>
      </w:r>
      <w:r w:rsidR="008B47E0">
        <w:t>спользовали</w:t>
      </w:r>
      <w:r>
        <w:t xml:space="preserve"> «другие виды топлива». Опросы также не принимались, если сумма всех сообщаемых взаимоисключающих категорий не находилась в пределах </w:t>
      </w:r>
      <w:r w:rsidR="007D5373">
        <w:t>97.9–102.1</w:t>
      </w:r>
      <w:r>
        <w:t>%. Значения использования топлива были равномерно масштабированы (разделены) на сумму всех взаимоисключающих категорий, за исключением «</w:t>
      </w:r>
      <w:r w:rsidR="008B47E0">
        <w:t>отсутствующих данных</w:t>
      </w:r>
      <w:r>
        <w:t>», «без приготовления пищи» и «других видов топлива».</w:t>
      </w:r>
    </w:p>
    <w:p w14:paraId="0307F886" w14:textId="57AC1946" w:rsidR="00C96C28" w:rsidRDefault="00C96C28" w:rsidP="00C96C28">
      <w:r>
        <w:t>Предполагалось, что страны, классифицированные как страны с высоким уровнем дохода в соответствии с классификацией стран Всемирного банка (</w:t>
      </w:r>
      <w:r w:rsidR="007D5373">
        <w:t>8</w:t>
      </w:r>
      <w:r>
        <w:t>0 стран) в 20</w:t>
      </w:r>
      <w:r w:rsidR="007D5373">
        <w:t>20</w:t>
      </w:r>
      <w:r>
        <w:t xml:space="preserve"> финансовом году, полностью перешли на чистую энергию для домашних хозяйств, и, следовательно, их доступ к чистым технологиям составляет</w:t>
      </w:r>
      <w:r w:rsidR="00BE4F1D">
        <w:t xml:space="preserve"> &gt;</w:t>
      </w:r>
      <w:r>
        <w:t>95%.</w:t>
      </w:r>
    </w:p>
    <w:p w14:paraId="63D5E9E6" w14:textId="17A26DE5" w:rsidR="00C96C28" w:rsidRDefault="00C96C28" w:rsidP="00C96C28">
      <w:r>
        <w:t xml:space="preserve">Никаких оценок для стран с низким и средним уровнем доходов без данных (Болгария, Ливан, Ливия) не сообщалось. Смоделированные оценки удельного топлива были получены для 128 стран с низким и средним уровнем доходов и 2 стран, не имеющих классификации доходов Всемирного банка (Острова Кука и </w:t>
      </w:r>
      <w:proofErr w:type="spellStart"/>
      <w:r>
        <w:t>Ниуэ</w:t>
      </w:r>
      <w:proofErr w:type="spellEnd"/>
      <w:r>
        <w:t>). Оценки общего использования чистого топлива были представлены для 190 стран.</w:t>
      </w:r>
    </w:p>
    <w:p w14:paraId="207AF664" w14:textId="77777777" w:rsidR="002E15F9" w:rsidRPr="00A343D5" w:rsidRDefault="002E15F9" w:rsidP="00C96C28">
      <w:pPr>
        <w:pStyle w:val="MHeader2"/>
        <w:pBdr>
          <w:bottom w:val="single" w:sz="12" w:space="3" w:color="DDDDDD"/>
        </w:pBdr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d</w:t>
      </w:r>
      <w:r w:rsidRPr="00A343D5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343D5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14:paraId="284B245C" w14:textId="77777777" w:rsidR="00D91D5D" w:rsidRDefault="00D91D5D" w:rsidP="00D91D5D">
      <w:r w:rsidRPr="00D91D5D">
        <w:lastRenderedPageBreak/>
        <w:t>Ежегодно со странами проводятся консультации по национальным данным, собранным для показателя 7.1.2 ЦУР.</w:t>
      </w:r>
    </w:p>
    <w:p w14:paraId="65BEA294" w14:textId="77777777" w:rsidR="002E15F9" w:rsidRDefault="002E15F9" w:rsidP="00B179C9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14:paraId="4385C51A" w14:textId="7DE73C6D" w:rsidR="00B63025" w:rsidRDefault="00B63025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</w:p>
    <w:p w14:paraId="5D6FFAB4" w14:textId="77777777" w:rsidR="002E15F9" w:rsidRPr="00A343D5" w:rsidRDefault="002E15F9" w:rsidP="00A343D5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343D5">
        <w:rPr>
          <w:b/>
          <w:color w:val="auto"/>
          <w:sz w:val="24"/>
          <w:szCs w:val="24"/>
        </w:rPr>
        <w:t>i</w:t>
      </w:r>
      <w:proofErr w:type="spellEnd"/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14:paraId="2BF1BDA8" w14:textId="63374143" w:rsidR="00A06695" w:rsidRPr="00467FE9" w:rsidRDefault="00A06695" w:rsidP="00467FE9">
      <w:pPr>
        <w:pStyle w:val="ac"/>
        <w:numPr>
          <w:ilvl w:val="0"/>
          <w:numId w:val="5"/>
        </w:numPr>
        <w:spacing w:after="200"/>
        <w:jc w:val="left"/>
        <w:rPr>
          <w:rFonts w:cs="Times New Roman"/>
          <w:i/>
          <w:szCs w:val="24"/>
        </w:rPr>
      </w:pPr>
      <w:r w:rsidRPr="00467FE9">
        <w:rPr>
          <w:rFonts w:cs="Times New Roman"/>
          <w:i/>
          <w:szCs w:val="24"/>
        </w:rPr>
        <w:t xml:space="preserve">На </w:t>
      </w:r>
      <w:r w:rsidR="00467FE9">
        <w:rPr>
          <w:rFonts w:cs="Times New Roman"/>
          <w:i/>
          <w:szCs w:val="24"/>
        </w:rPr>
        <w:t>страновом уровне:</w:t>
      </w:r>
    </w:p>
    <w:p w14:paraId="193BAF8F" w14:textId="0892F3C6" w:rsidR="00A06695" w:rsidRPr="00A06695" w:rsidRDefault="00A06695" w:rsidP="00A06695">
      <w:pPr>
        <w:spacing w:after="200"/>
        <w:rPr>
          <w:rFonts w:cs="Times New Roman"/>
          <w:szCs w:val="24"/>
        </w:rPr>
      </w:pPr>
      <w:r w:rsidRPr="00A06695">
        <w:rPr>
          <w:rFonts w:cs="Times New Roman"/>
          <w:szCs w:val="24"/>
        </w:rPr>
        <w:t>Недостающие значения для отдельных видов топлива в рамках обследования автоматически рассчитываются моделью (</w:t>
      </w:r>
      <w:proofErr w:type="spellStart"/>
      <w:r w:rsidRPr="00A06695">
        <w:rPr>
          <w:rFonts w:cs="Times New Roman"/>
          <w:szCs w:val="24"/>
        </w:rPr>
        <w:t>Stoner</w:t>
      </w:r>
      <w:proofErr w:type="spellEnd"/>
      <w:r w:rsidRPr="00A06695">
        <w:rPr>
          <w:rFonts w:cs="Times New Roman"/>
          <w:szCs w:val="24"/>
        </w:rPr>
        <w:t xml:space="preserve"> </w:t>
      </w:r>
      <w:proofErr w:type="spellStart"/>
      <w:r w:rsidRPr="00A06695">
        <w:rPr>
          <w:rFonts w:cs="Times New Roman"/>
          <w:szCs w:val="24"/>
        </w:rPr>
        <w:t>et</w:t>
      </w:r>
      <w:proofErr w:type="spellEnd"/>
      <w:r w:rsidRPr="00A06695">
        <w:rPr>
          <w:rFonts w:cs="Times New Roman"/>
          <w:szCs w:val="24"/>
        </w:rPr>
        <w:t xml:space="preserve"> </w:t>
      </w:r>
      <w:proofErr w:type="spellStart"/>
      <w:r w:rsidRPr="00A06695">
        <w:rPr>
          <w:rFonts w:cs="Times New Roman"/>
          <w:szCs w:val="24"/>
        </w:rPr>
        <w:t>al</w:t>
      </w:r>
      <w:proofErr w:type="spellEnd"/>
      <w:r w:rsidRPr="00A06695">
        <w:rPr>
          <w:rFonts w:cs="Times New Roman"/>
          <w:szCs w:val="24"/>
        </w:rPr>
        <w:t>., 20</w:t>
      </w:r>
      <w:r w:rsidR="002A4C97">
        <w:rPr>
          <w:rFonts w:cs="Times New Roman"/>
          <w:szCs w:val="24"/>
        </w:rPr>
        <w:t>20</w:t>
      </w:r>
      <w:r w:rsidRPr="00A06695">
        <w:rPr>
          <w:rFonts w:cs="Times New Roman"/>
          <w:szCs w:val="24"/>
        </w:rPr>
        <w:t>). Для обследований, в которых использование топлива указывается только для всего населения (т.е. без разбивки по городам или селам), модели автоматически рассчитываются для городских и сельских значений (</w:t>
      </w:r>
      <w:proofErr w:type="spellStart"/>
      <w:r w:rsidRPr="00A06695">
        <w:rPr>
          <w:rFonts w:cs="Times New Roman"/>
          <w:szCs w:val="24"/>
        </w:rPr>
        <w:t>Stoner</w:t>
      </w:r>
      <w:proofErr w:type="spellEnd"/>
      <w:r w:rsidRPr="00A06695">
        <w:rPr>
          <w:rFonts w:cs="Times New Roman"/>
          <w:szCs w:val="24"/>
        </w:rPr>
        <w:t xml:space="preserve"> </w:t>
      </w:r>
      <w:proofErr w:type="spellStart"/>
      <w:r w:rsidRPr="00A06695">
        <w:rPr>
          <w:rFonts w:cs="Times New Roman"/>
          <w:szCs w:val="24"/>
        </w:rPr>
        <w:t>et</w:t>
      </w:r>
      <w:proofErr w:type="spellEnd"/>
      <w:r w:rsidRPr="00A06695">
        <w:rPr>
          <w:rFonts w:cs="Times New Roman"/>
          <w:szCs w:val="24"/>
        </w:rPr>
        <w:t xml:space="preserve"> al.20</w:t>
      </w:r>
      <w:r w:rsidR="00BF45BF">
        <w:rPr>
          <w:rFonts w:cs="Times New Roman"/>
          <w:szCs w:val="24"/>
        </w:rPr>
        <w:t>20</w:t>
      </w:r>
      <w:r w:rsidRPr="00A06695">
        <w:rPr>
          <w:rFonts w:cs="Times New Roman"/>
          <w:szCs w:val="24"/>
        </w:rPr>
        <w:t>).</w:t>
      </w:r>
    </w:p>
    <w:p w14:paraId="21CAAFEE" w14:textId="574E5235" w:rsidR="00A06695" w:rsidRDefault="00A06695" w:rsidP="00A06695">
      <w:pPr>
        <w:spacing w:after="200"/>
        <w:rPr>
          <w:rFonts w:cs="Times New Roman"/>
          <w:szCs w:val="24"/>
        </w:rPr>
      </w:pPr>
      <w:r w:rsidRPr="00A06695">
        <w:rPr>
          <w:rFonts w:cs="Times New Roman"/>
          <w:szCs w:val="24"/>
        </w:rPr>
        <w:t>Для стран с низким и средним уровнем доходов, по которым нет данных (Болгария, Ливан, Ливия), оценок не сообщается. Все центральные оценки сообщаются вместе с показателями неопределенности. Там, где страны имеют очень ограниченные данные обследований (например, только одно обследование, пригодное для моделирования в период 1990-20</w:t>
      </w:r>
      <w:r w:rsidR="002A3189">
        <w:rPr>
          <w:rFonts w:cs="Times New Roman"/>
          <w:szCs w:val="24"/>
        </w:rPr>
        <w:t>20</w:t>
      </w:r>
      <w:r w:rsidRPr="00A06695">
        <w:rPr>
          <w:rFonts w:cs="Times New Roman"/>
          <w:szCs w:val="24"/>
        </w:rPr>
        <w:t xml:space="preserve"> гг.), </w:t>
      </w:r>
      <w:r>
        <w:rPr>
          <w:rFonts w:cs="Times New Roman"/>
          <w:szCs w:val="24"/>
        </w:rPr>
        <w:t>м</w:t>
      </w:r>
      <w:r w:rsidRPr="00A06695">
        <w:rPr>
          <w:rFonts w:cs="Times New Roman"/>
          <w:szCs w:val="24"/>
        </w:rPr>
        <w:t>еры неопределенности, естественно, шире. Предполагается, что страны с высоким уровнем дохода перешли на чистые виды топлива и технологии, и, по имеющимся данным,</w:t>
      </w:r>
      <w:r w:rsidR="007E1402">
        <w:rPr>
          <w:rFonts w:cs="Times New Roman"/>
          <w:szCs w:val="24"/>
        </w:rPr>
        <w:t xml:space="preserve"> &gt;</w:t>
      </w:r>
      <w:r w:rsidRPr="00A06695">
        <w:rPr>
          <w:rFonts w:cs="Times New Roman"/>
          <w:szCs w:val="24"/>
        </w:rPr>
        <w:t>95% их населения использует чистые виды топлива и технологии.</w:t>
      </w:r>
    </w:p>
    <w:p w14:paraId="77CC1307" w14:textId="59CF80F4" w:rsidR="00A06695" w:rsidRPr="00467FE9" w:rsidRDefault="00A06695" w:rsidP="00467FE9">
      <w:pPr>
        <w:pStyle w:val="ac"/>
        <w:numPr>
          <w:ilvl w:val="0"/>
          <w:numId w:val="5"/>
        </w:numPr>
        <w:spacing w:after="200"/>
        <w:jc w:val="left"/>
        <w:rPr>
          <w:rFonts w:cs="Times New Roman"/>
          <w:szCs w:val="24"/>
        </w:rPr>
      </w:pPr>
      <w:r w:rsidRPr="00467FE9">
        <w:rPr>
          <w:rFonts w:cs="Times New Roman"/>
          <w:i/>
          <w:szCs w:val="24"/>
        </w:rPr>
        <w:t>На региональном и глобальном уровнях</w:t>
      </w:r>
      <w:r w:rsidR="00467FE9">
        <w:rPr>
          <w:rFonts w:cs="Times New Roman"/>
          <w:i/>
          <w:szCs w:val="24"/>
        </w:rPr>
        <w:t>:</w:t>
      </w:r>
    </w:p>
    <w:p w14:paraId="6B02DE04" w14:textId="77777777" w:rsidR="00A1299E" w:rsidRDefault="00A1299E" w:rsidP="00A1299E">
      <w:r w:rsidRPr="00A1299E">
        <w:t>Страны с низким и средним уровнем доходов, по которым не было данных, были исключены из региональных и глобальных агрегатов, а значения 100% чистого топлива и использования технологий использовались для стран с высоким уровнем доходов для региональных и глобальных расчетов.</w:t>
      </w:r>
    </w:p>
    <w:p w14:paraId="680C1DA3" w14:textId="77777777" w:rsidR="002E15F9" w:rsidRDefault="002E15F9" w:rsidP="00351952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A343D5">
        <w:rPr>
          <w:color w:val="auto"/>
          <w:sz w:val="24"/>
          <w:szCs w:val="24"/>
          <w:lang w:val="ru-RU"/>
        </w:rPr>
        <w:t xml:space="preserve"> </w:t>
      </w:r>
    </w:p>
    <w:p w14:paraId="33D9DC7E" w14:textId="77777777" w:rsidR="00A1299E" w:rsidRPr="00A1299E" w:rsidRDefault="00A1299E" w:rsidP="00A1299E">
      <w:r w:rsidRPr="00A1299E">
        <w:t>Региональные и глобальные оценки взвешены по численности населения; в пределах региона значения страны умножаются на население соответствующей страны для получения взвешенных значений топлива. Затем эти значения суммируются и, наконец, делятся на сумму населения включенных стран.</w:t>
      </w:r>
    </w:p>
    <w:p w14:paraId="47ECA54A" w14:textId="77777777" w:rsidR="00A1299E" w:rsidRDefault="00A1299E" w:rsidP="00A1299E">
      <w:r w:rsidRPr="00A1299E">
        <w:t>Страны с низким и средним уровнем доходов, по которым не было данных, были исключены из региональных и глобальных агрегатов, а значения 100% чистого топлива и использования технологий использовались для стран с высоким уровнем доходов для региональных и глобальных расчетов.</w:t>
      </w:r>
    </w:p>
    <w:p w14:paraId="5C8DE7B7" w14:textId="77777777" w:rsidR="002E15F9" w:rsidRPr="00A343D5" w:rsidRDefault="002E15F9" w:rsidP="00A1299E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h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14:paraId="4B15E0CC" w14:textId="215DD8C3" w:rsidR="00FC45D9" w:rsidRPr="00FC45D9" w:rsidRDefault="00FC45D9" w:rsidP="00D11513">
      <w:pPr>
        <w:pStyle w:val="MHeader"/>
        <w:rPr>
          <w:color w:val="auto"/>
          <w:sz w:val="24"/>
          <w:szCs w:val="24"/>
          <w:lang w:val="ru-RU"/>
        </w:rPr>
      </w:pPr>
      <w:r w:rsidRPr="00FC45D9">
        <w:rPr>
          <w:color w:val="auto"/>
          <w:sz w:val="24"/>
          <w:szCs w:val="24"/>
          <w:lang w:val="ru-RU"/>
        </w:rPr>
        <w:t>Не применимо</w:t>
      </w:r>
    </w:p>
    <w:p w14:paraId="0B234418" w14:textId="5EA56FC0" w:rsidR="005574FA" w:rsidRPr="005574FA" w:rsidRDefault="005574FA" w:rsidP="005574FA">
      <w:pPr>
        <w:pStyle w:val="MHeader"/>
        <w:rPr>
          <w:b/>
          <w:color w:val="auto"/>
          <w:sz w:val="24"/>
          <w:szCs w:val="24"/>
          <w:lang w:val="ru-RU"/>
        </w:rPr>
      </w:pPr>
      <w:r w:rsidRPr="00D11513">
        <w:rPr>
          <w:b/>
          <w:color w:val="auto"/>
          <w:sz w:val="24"/>
          <w:szCs w:val="24"/>
          <w:lang w:val="ru-RU"/>
        </w:rPr>
        <w:t>4.</w:t>
      </w:r>
      <w:proofErr w:type="spellStart"/>
      <w:r w:rsidRPr="00D11513">
        <w:rPr>
          <w:b/>
          <w:color w:val="auto"/>
          <w:sz w:val="24"/>
          <w:szCs w:val="24"/>
        </w:rPr>
        <w:t>i</w:t>
      </w:r>
      <w:proofErr w:type="spellEnd"/>
      <w:r w:rsidRPr="00D11513">
        <w:rPr>
          <w:b/>
          <w:color w:val="auto"/>
          <w:sz w:val="24"/>
          <w:szCs w:val="24"/>
          <w:lang w:val="ru-RU"/>
        </w:rPr>
        <w:t>. Управление качеством</w:t>
      </w:r>
    </w:p>
    <w:p w14:paraId="7F4AFC66" w14:textId="64B2993A" w:rsidR="005574FA" w:rsidRDefault="005574FA" w:rsidP="005574FA">
      <w:r w:rsidRPr="004C5A13">
        <w:rPr>
          <w:bCs/>
          <w:szCs w:val="24"/>
        </w:rPr>
        <w:t xml:space="preserve">Исходные данные для единой многомерной иерархической модели, используемой для оценки доступа к экологически чистому приготовлению пищи, представляют некоторые </w:t>
      </w:r>
      <w:r w:rsidRPr="004C5A13">
        <w:rPr>
          <w:bCs/>
          <w:szCs w:val="24"/>
        </w:rPr>
        <w:lastRenderedPageBreak/>
        <w:t xml:space="preserve">проблемы, связанные с </w:t>
      </w:r>
      <w:proofErr w:type="gramStart"/>
      <w:r w:rsidRPr="004C5A13">
        <w:rPr>
          <w:bCs/>
          <w:szCs w:val="24"/>
        </w:rPr>
        <w:t>несоответствиями</w:t>
      </w:r>
      <w:proofErr w:type="gramEnd"/>
      <w:r w:rsidRPr="004C5A13">
        <w:rPr>
          <w:bCs/>
          <w:szCs w:val="24"/>
        </w:rPr>
        <w:t xml:space="preserve"> как в качестве, так и в количестве информации, полученной в результате обследований:</w:t>
      </w:r>
    </w:p>
    <w:p w14:paraId="5420ABD3" w14:textId="53C54870" w:rsidR="004C5A13" w:rsidRPr="004C5A13" w:rsidRDefault="004C5A13" w:rsidP="005574FA">
      <w:pPr>
        <w:pStyle w:val="ac"/>
        <w:numPr>
          <w:ilvl w:val="0"/>
          <w:numId w:val="8"/>
        </w:numPr>
      </w:pPr>
      <w:r w:rsidRPr="004C5A13">
        <w:t>несогласованность в планировании обследования и сборе данных, а также недостающие значения, что может привести к крайне нестабильным временным рядам для некоторых отдельных видов топлива в некоторых странах,</w:t>
      </w:r>
    </w:p>
    <w:p w14:paraId="046C8DFB" w14:textId="0BEDBD34" w:rsidR="004C5A13" w:rsidRPr="004C5A13" w:rsidRDefault="004C5A13" w:rsidP="005574FA">
      <w:pPr>
        <w:pStyle w:val="ac"/>
        <w:numPr>
          <w:ilvl w:val="0"/>
          <w:numId w:val="8"/>
        </w:numPr>
      </w:pPr>
      <w:r w:rsidRPr="004C5A13">
        <w:t>для опросов, в которых количество респондентов недоступно, приводятся только пропорции использования каждого вида топлива, а первоначальные подсчеты (количество респондентов, использующих каждый вид топлива) восстановлению не подлежат.</w:t>
      </w:r>
    </w:p>
    <w:p w14:paraId="73A6D778" w14:textId="58CC2A11" w:rsidR="005574FA" w:rsidRPr="005574FA" w:rsidRDefault="004C5A13" w:rsidP="004C5A13">
      <w:pPr>
        <w:pStyle w:val="ac"/>
        <w:numPr>
          <w:ilvl w:val="0"/>
          <w:numId w:val="8"/>
        </w:numPr>
      </w:pPr>
      <w:r w:rsidRPr="004C5A13">
        <w:t>информация о тенденциях в использовании конкретных видов топлива требуется как для городских, так и для сельских районов, но во многих случаях обследования предоставляют данные только для населения в целом (</w:t>
      </w:r>
      <w:proofErr w:type="spellStart"/>
      <w:r w:rsidRPr="004C5A13">
        <w:t>Stoner</w:t>
      </w:r>
      <w:proofErr w:type="spellEnd"/>
      <w:r w:rsidRPr="004C5A13">
        <w:t xml:space="preserve"> </w:t>
      </w:r>
      <w:proofErr w:type="spellStart"/>
      <w:r w:rsidRPr="004C5A13">
        <w:t>et</w:t>
      </w:r>
      <w:proofErr w:type="spellEnd"/>
      <w:r w:rsidRPr="004C5A13">
        <w:t xml:space="preserve"> </w:t>
      </w:r>
      <w:proofErr w:type="spellStart"/>
      <w:r w:rsidRPr="004C5A13">
        <w:t>al</w:t>
      </w:r>
      <w:proofErr w:type="spellEnd"/>
      <w:r w:rsidRPr="004C5A13">
        <w:t>., 2020).</w:t>
      </w:r>
    </w:p>
    <w:p w14:paraId="2A119582" w14:textId="4302FCB0" w:rsidR="004C5A13" w:rsidRPr="004C5A13" w:rsidRDefault="004C5A13" w:rsidP="004C5A13">
      <w:pPr>
        <w:pStyle w:val="MHeader"/>
        <w:rPr>
          <w:bCs/>
          <w:color w:val="auto"/>
          <w:sz w:val="24"/>
          <w:szCs w:val="24"/>
          <w:lang w:val="ru-RU"/>
        </w:rPr>
      </w:pPr>
      <w:r w:rsidRPr="004C5A13">
        <w:rPr>
          <w:bCs/>
          <w:color w:val="auto"/>
          <w:sz w:val="24"/>
          <w:szCs w:val="24"/>
          <w:lang w:val="ru-RU"/>
        </w:rPr>
        <w:t xml:space="preserve">Поэтому в модель включено несколько корректировок, чтобы решить наблюдаемые проблемы, вытекающие из исходных данных (подробнее об этом см. </w:t>
      </w:r>
      <w:proofErr w:type="spellStart"/>
      <w:r w:rsidRPr="004C5A13">
        <w:rPr>
          <w:bCs/>
          <w:color w:val="auto"/>
          <w:sz w:val="24"/>
          <w:szCs w:val="24"/>
          <w:lang w:val="ru-RU"/>
        </w:rPr>
        <w:t>Stoner</w:t>
      </w:r>
      <w:proofErr w:type="spellEnd"/>
      <w:r w:rsidRPr="004C5A13">
        <w:rPr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4C5A13">
        <w:rPr>
          <w:bCs/>
          <w:color w:val="auto"/>
          <w:sz w:val="24"/>
          <w:szCs w:val="24"/>
          <w:lang w:val="ru-RU"/>
        </w:rPr>
        <w:t>et</w:t>
      </w:r>
      <w:proofErr w:type="spellEnd"/>
      <w:r w:rsidRPr="004C5A13">
        <w:rPr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4C5A13">
        <w:rPr>
          <w:bCs/>
          <w:color w:val="auto"/>
          <w:sz w:val="24"/>
          <w:szCs w:val="24"/>
          <w:lang w:val="ru-RU"/>
        </w:rPr>
        <w:t>al</w:t>
      </w:r>
      <w:proofErr w:type="spellEnd"/>
      <w:r w:rsidRPr="004C5A13">
        <w:rPr>
          <w:bCs/>
          <w:color w:val="auto"/>
          <w:sz w:val="24"/>
          <w:szCs w:val="24"/>
          <w:lang w:val="ru-RU"/>
        </w:rPr>
        <w:t>., 2020).</w:t>
      </w:r>
    </w:p>
    <w:p w14:paraId="3CE87362" w14:textId="77777777" w:rsidR="00151C00" w:rsidRPr="003064BC" w:rsidRDefault="002E15F9" w:rsidP="00D11513">
      <w:pPr>
        <w:pStyle w:val="MHeader"/>
        <w:rPr>
          <w:b/>
          <w:bCs/>
          <w:color w:val="auto"/>
          <w:sz w:val="24"/>
          <w:szCs w:val="24"/>
          <w:lang w:val="ru-RU"/>
        </w:rPr>
      </w:pPr>
      <w:r w:rsidRPr="003064BC">
        <w:rPr>
          <w:b/>
          <w:bCs/>
          <w:color w:val="auto"/>
          <w:sz w:val="24"/>
          <w:szCs w:val="24"/>
          <w:lang w:val="ru-RU"/>
        </w:rPr>
        <w:t>4.</w:t>
      </w:r>
      <w:r w:rsidRPr="003064BC">
        <w:rPr>
          <w:b/>
          <w:bCs/>
          <w:color w:val="auto"/>
          <w:sz w:val="24"/>
          <w:szCs w:val="24"/>
        </w:rPr>
        <w:t>j</w:t>
      </w:r>
      <w:r w:rsidR="00E27922" w:rsidRPr="003064BC">
        <w:rPr>
          <w:b/>
          <w:bCs/>
          <w:color w:val="auto"/>
          <w:sz w:val="24"/>
          <w:szCs w:val="24"/>
          <w:lang w:val="ru-RU"/>
        </w:rPr>
        <w:t>.</w:t>
      </w:r>
      <w:r w:rsidRPr="003064BC">
        <w:rPr>
          <w:b/>
          <w:bCs/>
          <w:color w:val="auto"/>
          <w:sz w:val="24"/>
          <w:szCs w:val="24"/>
          <w:lang w:val="ru-RU"/>
        </w:rPr>
        <w:t xml:space="preserve"> </w:t>
      </w:r>
      <w:r w:rsidR="00E27922" w:rsidRPr="003064BC">
        <w:rPr>
          <w:b/>
          <w:bCs/>
          <w:color w:val="auto"/>
          <w:sz w:val="24"/>
          <w:szCs w:val="24"/>
          <w:lang w:val="ru-RU"/>
        </w:rPr>
        <w:t>Обеспечение качества</w:t>
      </w:r>
    </w:p>
    <w:p w14:paraId="22E4D6B4" w14:textId="100BA9E6" w:rsidR="004C5A13" w:rsidRPr="004C5A13" w:rsidRDefault="004C5A13" w:rsidP="00D11513">
      <w:pPr>
        <w:pStyle w:val="MHeader"/>
        <w:rPr>
          <w:bCs/>
          <w:color w:val="auto"/>
          <w:sz w:val="24"/>
          <w:szCs w:val="24"/>
          <w:lang w:val="ru-RU"/>
        </w:rPr>
      </w:pPr>
      <w:r w:rsidRPr="004C5A13">
        <w:rPr>
          <w:bCs/>
          <w:color w:val="auto"/>
          <w:sz w:val="24"/>
          <w:szCs w:val="24"/>
          <w:lang w:val="ru-RU"/>
        </w:rPr>
        <w:t>Прежде чем завершить подготовку оценок по чистому приготовлению пищи, команда ВОЗ связывается с региональными комиссиями ООН с просьбой предоставить обзоры и предложения по подготовленным цифрам. Данные также проходят многочисленные раунды внутренних консультаций с учреждениями, ответственными за достижение ЦУР 7.</w:t>
      </w:r>
    </w:p>
    <w:p w14:paraId="3C9F3C6F" w14:textId="77777777" w:rsidR="002E15F9" w:rsidRPr="003064BC" w:rsidRDefault="0075371E" w:rsidP="00D11513">
      <w:pPr>
        <w:pStyle w:val="MHeader"/>
        <w:rPr>
          <w:b/>
          <w:bCs/>
          <w:color w:val="auto"/>
          <w:sz w:val="24"/>
          <w:szCs w:val="24"/>
          <w:lang w:val="ru-RU"/>
        </w:rPr>
      </w:pPr>
      <w:r w:rsidRPr="003064BC">
        <w:rPr>
          <w:b/>
          <w:bCs/>
          <w:color w:val="auto"/>
          <w:sz w:val="24"/>
          <w:szCs w:val="24"/>
          <w:lang w:val="ru-RU"/>
        </w:rPr>
        <w:t>4.</w:t>
      </w:r>
      <w:r w:rsidRPr="003064BC">
        <w:rPr>
          <w:b/>
          <w:bCs/>
          <w:color w:val="auto"/>
          <w:sz w:val="24"/>
          <w:szCs w:val="24"/>
        </w:rPr>
        <w:t>k</w:t>
      </w:r>
      <w:r w:rsidRPr="003064BC">
        <w:rPr>
          <w:b/>
          <w:bCs/>
          <w:color w:val="auto"/>
          <w:sz w:val="24"/>
          <w:szCs w:val="24"/>
          <w:lang w:val="ru-RU"/>
        </w:rPr>
        <w:t xml:space="preserve">. Оценка качества </w:t>
      </w:r>
    </w:p>
    <w:p w14:paraId="47D87092" w14:textId="7F61E28C" w:rsidR="004C5A13" w:rsidRPr="004C5A13" w:rsidRDefault="004C5A13" w:rsidP="004C5A13">
      <w:pPr>
        <w:pStyle w:val="MHeader"/>
        <w:rPr>
          <w:bCs/>
          <w:color w:val="auto"/>
          <w:sz w:val="24"/>
          <w:szCs w:val="24"/>
          <w:lang w:val="ru-RU"/>
        </w:rPr>
      </w:pPr>
      <w:r w:rsidRPr="004C5A13">
        <w:rPr>
          <w:bCs/>
          <w:color w:val="auto"/>
          <w:sz w:val="24"/>
          <w:szCs w:val="24"/>
          <w:lang w:val="ru-RU"/>
        </w:rPr>
        <w:t>После консультаций с внутренними заинтересованными сторонами и региональными комиссиями ООН оценки данных</w:t>
      </w:r>
      <w:r>
        <w:rPr>
          <w:bCs/>
          <w:color w:val="auto"/>
          <w:sz w:val="24"/>
          <w:szCs w:val="24"/>
          <w:lang w:val="ru-RU"/>
        </w:rPr>
        <w:t xml:space="preserve"> </w:t>
      </w:r>
      <w:r w:rsidRPr="004C5A13">
        <w:rPr>
          <w:bCs/>
          <w:color w:val="auto"/>
          <w:sz w:val="24"/>
          <w:szCs w:val="24"/>
          <w:lang w:val="ru-RU"/>
        </w:rPr>
        <w:t>по некоторым странам могут подвергнуться дополнительному пересмотру.</w:t>
      </w:r>
    </w:p>
    <w:p w14:paraId="43DE5341" w14:textId="045D0DA5" w:rsidR="002E15F9" w:rsidRPr="003064BC" w:rsidRDefault="002E15F9" w:rsidP="00A343D5">
      <w:pPr>
        <w:pStyle w:val="MHeader"/>
        <w:spacing w:after="100"/>
        <w:rPr>
          <w:b/>
          <w:bCs/>
          <w:color w:val="auto"/>
          <w:sz w:val="24"/>
          <w:szCs w:val="24"/>
          <w:lang w:val="ru-RU"/>
        </w:rPr>
      </w:pPr>
      <w:r w:rsidRPr="003064BC">
        <w:rPr>
          <w:b/>
          <w:bCs/>
          <w:color w:val="auto"/>
          <w:sz w:val="24"/>
          <w:szCs w:val="24"/>
          <w:lang w:val="ru-RU"/>
        </w:rPr>
        <w:t xml:space="preserve">5. </w:t>
      </w:r>
      <w:r w:rsidR="0075371E" w:rsidRPr="003064BC">
        <w:rPr>
          <w:b/>
          <w:bCs/>
          <w:color w:val="auto"/>
          <w:sz w:val="24"/>
          <w:szCs w:val="24"/>
          <w:lang w:val="ru-RU"/>
        </w:rPr>
        <w:t>Доступность и дезагрег</w:t>
      </w:r>
      <w:r w:rsidR="003064BC" w:rsidRPr="003064BC">
        <w:rPr>
          <w:b/>
          <w:bCs/>
          <w:color w:val="auto"/>
          <w:sz w:val="24"/>
          <w:szCs w:val="24"/>
          <w:lang w:val="ru-RU"/>
        </w:rPr>
        <w:t>ация</w:t>
      </w:r>
      <w:r w:rsidR="0075371E" w:rsidRPr="003064BC">
        <w:rPr>
          <w:b/>
          <w:bCs/>
          <w:color w:val="auto"/>
          <w:sz w:val="24"/>
          <w:szCs w:val="24"/>
          <w:lang w:val="ru-RU"/>
        </w:rPr>
        <w:t xml:space="preserve"> данных</w:t>
      </w:r>
    </w:p>
    <w:p w14:paraId="432CB1CA" w14:textId="77777777" w:rsidR="00547F84" w:rsidRPr="00C03806" w:rsidRDefault="00547F84" w:rsidP="00547F84">
      <w:pPr>
        <w:rPr>
          <w:b/>
        </w:rPr>
      </w:pPr>
      <w:r w:rsidRPr="00C03806">
        <w:rPr>
          <w:b/>
        </w:rPr>
        <w:t>Доступность данных:</w:t>
      </w:r>
    </w:p>
    <w:p w14:paraId="24AD6FAC" w14:textId="53154BF3" w:rsidR="00547F84" w:rsidRPr="00547F84" w:rsidRDefault="00547F84" w:rsidP="00547F84">
      <w:r w:rsidRPr="00547F84">
        <w:t>Что касается топлива для приготовления пищи, охват 17</w:t>
      </w:r>
      <w:r w:rsidR="00B86D93">
        <w:t>1</w:t>
      </w:r>
      <w:r w:rsidRPr="00547F84">
        <w:t xml:space="preserve"> стран</w:t>
      </w:r>
      <w:r w:rsidR="00B86D93">
        <w:t>ы</w:t>
      </w:r>
      <w:r w:rsidRPr="00547F84">
        <w:t xml:space="preserve"> доступен через Глобальную базу данных ВОЗ по энергии для домашних хозяйств.</w:t>
      </w:r>
    </w:p>
    <w:p w14:paraId="2CA1D26E" w14:textId="77777777" w:rsidR="00547F84" w:rsidRPr="00547F84" w:rsidRDefault="00547F84" w:rsidP="00547F84">
      <w:r w:rsidRPr="00547F84">
        <w:t>По топливу для освещения в базу данных ВОЗ включены данные по 125 странам.</w:t>
      </w:r>
    </w:p>
    <w:p w14:paraId="5712A199" w14:textId="77777777" w:rsidR="00547F84" w:rsidRPr="00547F84" w:rsidRDefault="00547F84" w:rsidP="00547F84">
      <w:r w:rsidRPr="00547F84">
        <w:t>В отношении топлива для отопления база данных ВОЗ включает данные по 71 стране.</w:t>
      </w:r>
    </w:p>
    <w:p w14:paraId="00CE4A0B" w14:textId="77777777" w:rsidR="00547F84" w:rsidRPr="00C03806" w:rsidRDefault="00547F84" w:rsidP="00547F84">
      <w:pPr>
        <w:rPr>
          <w:b/>
        </w:rPr>
      </w:pPr>
      <w:r w:rsidRPr="00C03806">
        <w:rPr>
          <w:b/>
        </w:rPr>
        <w:t>Временные ряды:</w:t>
      </w:r>
    </w:p>
    <w:p w14:paraId="04FB4B36" w14:textId="35EA976E" w:rsidR="00547F84" w:rsidRPr="00547F84" w:rsidRDefault="00547F84" w:rsidP="00547F84">
      <w:r w:rsidRPr="00547F84">
        <w:t>С 1960 по 20</w:t>
      </w:r>
      <w:r w:rsidR="009E56C1">
        <w:t>20</w:t>
      </w:r>
      <w:r w:rsidRPr="00547F84">
        <w:t xml:space="preserve"> год</w:t>
      </w:r>
      <w:r w:rsidR="001F5F8F">
        <w:t>ы</w:t>
      </w:r>
    </w:p>
    <w:p w14:paraId="37810779" w14:textId="77777777" w:rsidR="00547F84" w:rsidRPr="00C03806" w:rsidRDefault="00547F84" w:rsidP="00547F84">
      <w:pPr>
        <w:rPr>
          <w:b/>
        </w:rPr>
      </w:pPr>
      <w:r w:rsidRPr="00C03806">
        <w:rPr>
          <w:b/>
        </w:rPr>
        <w:t>Дезагрегация:</w:t>
      </w:r>
    </w:p>
    <w:p w14:paraId="6C087C69" w14:textId="77777777" w:rsidR="00547F84" w:rsidRDefault="00547F84" w:rsidP="00547F84">
      <w:r>
        <w:t>Дезагрегированные оценки для разных конечных целей использования энергии (например, приготовление пищи, отопление и освещение, с ожидаемыми улучшениями в обследовании домашних хозяйств по показателям отопления и освещения для всех стран).</w:t>
      </w:r>
    </w:p>
    <w:p w14:paraId="2C135819" w14:textId="25AA1002" w:rsidR="00BF6CCF" w:rsidRDefault="00547F84" w:rsidP="00547F84">
      <w:r>
        <w:t>Дезагрег</w:t>
      </w:r>
      <w:r w:rsidR="00DF1D2F">
        <w:t>ация</w:t>
      </w:r>
      <w:r>
        <w:t xml:space="preserve"> по доступу </w:t>
      </w:r>
      <w:r w:rsidR="00393D10">
        <w:t xml:space="preserve">к экологически чистому топливу </w:t>
      </w:r>
      <w:r>
        <w:t xml:space="preserve">и технологиям для приготовления пищи в сельских или городских районах </w:t>
      </w:r>
      <w:r w:rsidR="00BF6CCF" w:rsidRPr="00BF6CCF">
        <w:t>возможн</w:t>
      </w:r>
      <w:r w:rsidR="00BF6CCF">
        <w:t>а</w:t>
      </w:r>
      <w:r w:rsidR="00BF6CCF" w:rsidRPr="00BF6CCF">
        <w:t xml:space="preserve"> для всех стран с данными опроса.</w:t>
      </w:r>
    </w:p>
    <w:p w14:paraId="52433488" w14:textId="7D278D05" w:rsidR="00547F84" w:rsidRDefault="00547F84" w:rsidP="00547F84">
      <w:r>
        <w:t xml:space="preserve">Гендерная дезагрегация основного пользователя (например, готовящего пищу) энергии для приготовления пищи будет доступна с ожидаемыми улучшениями в обследованиях домашних хозяйств. </w:t>
      </w:r>
    </w:p>
    <w:p w14:paraId="011F3C86" w14:textId="29F30B9E" w:rsidR="00547F84" w:rsidRDefault="00547F84" w:rsidP="00547F84">
      <w:r>
        <w:lastRenderedPageBreak/>
        <w:t>Существует гендерная дезагрегация по главе домохозяйства для показателей по приготовлению пищи, освещению и отоплению.</w:t>
      </w:r>
      <w:r w:rsidR="00F41480" w:rsidRPr="00F41480">
        <w:t xml:space="preserve"> </w:t>
      </w:r>
      <w:r w:rsidR="00F41480">
        <w:t>Энергия – это услуга, предоставляемая на уровне домашнего хозяйства, а не на индивидуальном уровне.</w:t>
      </w:r>
    </w:p>
    <w:p w14:paraId="2661858C" w14:textId="572DD735" w:rsidR="00547F84" w:rsidRDefault="00547F84" w:rsidP="00547F84">
      <w:r>
        <w:t xml:space="preserve">Тем не менее, она используется по-разному мужчинами и женщинами и оказывает различное воздействие на их здоровье и благополучие. </w:t>
      </w:r>
      <w:r w:rsidR="00452544" w:rsidRPr="00452544">
        <w:t>Чт</w:t>
      </w:r>
      <w:r w:rsidR="00452544">
        <w:t xml:space="preserve">о в </w:t>
      </w:r>
      <w:proofErr w:type="gramStart"/>
      <w:r w:rsidR="00452544">
        <w:t>принципе</w:t>
      </w:r>
      <w:proofErr w:type="gramEnd"/>
      <w:r w:rsidR="00452544">
        <w:t xml:space="preserve"> возможно, так это </w:t>
      </w:r>
      <w:r>
        <w:t xml:space="preserve">сообщать о доступе к энергии, дезагрегированном по главному потребителю энергии для приготовления пищи. </w:t>
      </w:r>
    </w:p>
    <w:p w14:paraId="064D0D6D" w14:textId="77777777" w:rsidR="00547F84" w:rsidRDefault="00547F84" w:rsidP="00547F84">
      <w:r>
        <w:t>Кроме того, в базу данных ВОЗ по энергетике домашних хозяй</w:t>
      </w:r>
      <w:proofErr w:type="gramStart"/>
      <w:r>
        <w:t>ств вкл</w:t>
      </w:r>
      <w:proofErr w:type="gramEnd"/>
      <w:r>
        <w:t>ючены данные по тридцати странам о времени, затрачиваемом детьми на сбор дров и воды, в разбивке по полу. По мере улучшения сбора данных в рамках процесса гармонизации обследований, будут доступны данные, содержащие данные о времени, затрачиваемом исключительно на сбор топлива, а не в сочетании со сбором воды.</w:t>
      </w:r>
    </w:p>
    <w:p w14:paraId="5508CB1A" w14:textId="77777777" w:rsidR="002E15F9" w:rsidRPr="00547F84" w:rsidRDefault="002E15F9" w:rsidP="00547F84">
      <w:pPr>
        <w:pStyle w:val="MHeader"/>
        <w:spacing w:after="100"/>
        <w:rPr>
          <w:rFonts w:eastAsiaTheme="minorHAnsi" w:cstheme="minorBidi"/>
          <w:color w:val="auto"/>
          <w:sz w:val="24"/>
          <w:szCs w:val="22"/>
          <w:lang w:val="ru-RU" w:eastAsia="en-US"/>
        </w:rPr>
      </w:pPr>
      <w:r w:rsidRPr="00A343D5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14:paraId="4D6484FD" w14:textId="77777777" w:rsidR="00547F84" w:rsidRDefault="00547F84" w:rsidP="00547F84">
      <w:pPr>
        <w:rPr>
          <w:lang w:eastAsia="en-GB"/>
        </w:rPr>
      </w:pPr>
      <w:r>
        <w:rPr>
          <w:lang w:eastAsia="en-GB"/>
        </w:rPr>
        <w:t xml:space="preserve">Могут быть несоответствия между данными, представленными на международном уровне, и данными, представленными на национальном уровне. Причины следующие: </w:t>
      </w:r>
    </w:p>
    <w:p w14:paraId="244ECCA8" w14:textId="6EFC9861" w:rsidR="00547F84" w:rsidRDefault="00547F84" w:rsidP="00180F66">
      <w:pPr>
        <w:pStyle w:val="ac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Моделированные оценки по сравнению с данными опроса. </w:t>
      </w:r>
    </w:p>
    <w:p w14:paraId="7E0E0E56" w14:textId="18E7A310" w:rsidR="00547F84" w:rsidRDefault="00547F84" w:rsidP="00180F66">
      <w:pPr>
        <w:pStyle w:val="ac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Использование различных определений загрязняющих (или ранее твердых) видов топлива (только древесина или древесина, включая любую другую биомассу, например остатки навоза; керосин, включаемый или не включаемый в загрязняющие виды топлива).</w:t>
      </w:r>
    </w:p>
    <w:p w14:paraId="7C48FA1E" w14:textId="3F1489F9" w:rsidR="00547F84" w:rsidRDefault="00547F84" w:rsidP="00180F66">
      <w:pPr>
        <w:pStyle w:val="ac"/>
        <w:numPr>
          <w:ilvl w:val="0"/>
          <w:numId w:val="9"/>
        </w:numPr>
        <w:tabs>
          <w:tab w:val="left" w:pos="6030"/>
        </w:tabs>
        <w:rPr>
          <w:lang w:eastAsia="en-GB"/>
        </w:rPr>
      </w:pPr>
      <w:r>
        <w:rPr>
          <w:lang w:eastAsia="en-GB"/>
        </w:rPr>
        <w:t xml:space="preserve">Использование различной общей оценки населения. </w:t>
      </w:r>
      <w:r w:rsidR="00180F66">
        <w:rPr>
          <w:lang w:eastAsia="en-GB"/>
        </w:rPr>
        <w:tab/>
      </w:r>
    </w:p>
    <w:p w14:paraId="16B03AED" w14:textId="1D32D737" w:rsidR="00547F84" w:rsidRDefault="00547F84" w:rsidP="00180F66">
      <w:pPr>
        <w:pStyle w:val="ac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 xml:space="preserve">Оценки выражены в процентах от населения, использующего загрязняющее (или твердое) топливо (по показателю ЦУР) по сравнению с процентом домохозяйств, использующих загрязняющие (или твердые) виды топлива (по данным обследований, таких как DHS или MICS). </w:t>
      </w:r>
    </w:p>
    <w:p w14:paraId="01D14A7A" w14:textId="2E105B67" w:rsidR="00547F84" w:rsidRDefault="00547F84" w:rsidP="00180F66">
      <w:pPr>
        <w:pStyle w:val="ac"/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В приведенных здесь оценках значения, превышающие 95% потребления загрязняющего топлива, представлены как «&gt; 95%», а значения ниже 5% как «&lt;5».</w:t>
      </w:r>
    </w:p>
    <w:p w14:paraId="5522DC85" w14:textId="77777777" w:rsidR="00547F84" w:rsidRPr="00C22DF6" w:rsidRDefault="00547F84" w:rsidP="00547F84">
      <w:pPr>
        <w:pStyle w:val="a0"/>
        <w:rPr>
          <w:lang w:eastAsia="en-GB"/>
        </w:rPr>
      </w:pPr>
      <w:r w:rsidRPr="00C22DF6">
        <w:rPr>
          <w:lang w:eastAsia="en-GB"/>
        </w:rPr>
        <w:t>Изменения в методологии моделирования:</w:t>
      </w:r>
    </w:p>
    <w:p w14:paraId="3572CEFC" w14:textId="77777777" w:rsidR="00547F84" w:rsidRPr="00C22DF6" w:rsidRDefault="00547F84" w:rsidP="00547F84">
      <w:pPr>
        <w:pStyle w:val="a0"/>
        <w:rPr>
          <w:lang w:eastAsia="en-GB"/>
        </w:rPr>
      </w:pPr>
    </w:p>
    <w:p w14:paraId="107B5CE9" w14:textId="0B7ED398" w:rsidR="00547F84" w:rsidRPr="00C22DF6" w:rsidRDefault="00547F84" w:rsidP="00547F84">
      <w:pPr>
        <w:rPr>
          <w:lang w:eastAsia="en-GB"/>
        </w:rPr>
      </w:pPr>
      <w:r w:rsidRPr="00C22DF6">
        <w:rPr>
          <w:lang w:eastAsia="en-GB"/>
        </w:rPr>
        <w:t xml:space="preserve">До 2018 года оценки доли населения, в основном полагающегося на твердое топливо, получали на основе многоуровневой модели с региональными и непараметрическими функциями времени в качестве единственных </w:t>
      </w:r>
      <w:r w:rsidR="00C22DF6" w:rsidRPr="00C22DF6">
        <w:rPr>
          <w:lang w:eastAsia="en-GB"/>
        </w:rPr>
        <w:t>случайных величин</w:t>
      </w:r>
      <w:r w:rsidRPr="00C22DF6">
        <w:rPr>
          <w:lang w:eastAsia="en-GB"/>
        </w:rPr>
        <w:t xml:space="preserve"> (</w:t>
      </w:r>
      <w:proofErr w:type="spellStart"/>
      <w:r w:rsidRPr="00C22DF6">
        <w:rPr>
          <w:lang w:eastAsia="en-GB"/>
        </w:rPr>
        <w:t>Bonjour</w:t>
      </w:r>
      <w:proofErr w:type="spellEnd"/>
      <w:r w:rsidRPr="00C22DF6">
        <w:rPr>
          <w:lang w:eastAsia="en-GB"/>
        </w:rPr>
        <w:t xml:space="preserve"> </w:t>
      </w:r>
      <w:proofErr w:type="spellStart"/>
      <w:r w:rsidRPr="00C22DF6">
        <w:rPr>
          <w:lang w:eastAsia="en-GB"/>
        </w:rPr>
        <w:t>et</w:t>
      </w:r>
      <w:proofErr w:type="spellEnd"/>
      <w:r w:rsidRPr="00C22DF6">
        <w:rPr>
          <w:lang w:eastAsia="en-GB"/>
        </w:rPr>
        <w:t xml:space="preserve"> al.2013). Для отслеживания ЦУР 7 в 2018 и 2019 годах эта модель использовалась для оценки загрязнения и использования чистого топлива, хотя на этот раз она была реализована в байесовской структуре для повышения устойчивости и более надежной количественной оценки неопределенности. </w:t>
      </w:r>
      <w:r w:rsidR="00C22DF6" w:rsidRPr="00C22DF6">
        <w:rPr>
          <w:lang w:eastAsia="en-GB"/>
        </w:rPr>
        <w:t>В</w:t>
      </w:r>
      <w:r w:rsidRPr="00C22DF6">
        <w:rPr>
          <w:lang w:eastAsia="en-GB"/>
        </w:rPr>
        <w:t xml:space="preserve"> 2020 год</w:t>
      </w:r>
      <w:r w:rsidR="00C22DF6" w:rsidRPr="00C22DF6">
        <w:rPr>
          <w:lang w:eastAsia="en-GB"/>
        </w:rPr>
        <w:t>у</w:t>
      </w:r>
      <w:r w:rsidRPr="00C22DF6">
        <w:rPr>
          <w:lang w:eastAsia="en-GB"/>
        </w:rPr>
        <w:t xml:space="preserve"> модель была расширена, чтобы дать возможность оценивать отдельные виды топлива, а функциям времени была добавлена ​​дополнительная гибкость, чтобы лучше улавливать нелинейные тенденции в некоторых странах (</w:t>
      </w:r>
      <w:proofErr w:type="spellStart"/>
      <w:r w:rsidRPr="00C22DF6">
        <w:rPr>
          <w:lang w:eastAsia="en-GB"/>
        </w:rPr>
        <w:t>Stoner</w:t>
      </w:r>
      <w:proofErr w:type="spellEnd"/>
      <w:r w:rsidRPr="00C22DF6">
        <w:rPr>
          <w:lang w:eastAsia="en-GB"/>
        </w:rPr>
        <w:t xml:space="preserve"> </w:t>
      </w:r>
      <w:proofErr w:type="spellStart"/>
      <w:r w:rsidRPr="00C22DF6">
        <w:rPr>
          <w:lang w:eastAsia="en-GB"/>
        </w:rPr>
        <w:t>et</w:t>
      </w:r>
      <w:proofErr w:type="spellEnd"/>
      <w:r w:rsidRPr="00C22DF6">
        <w:rPr>
          <w:lang w:eastAsia="en-GB"/>
        </w:rPr>
        <w:t xml:space="preserve"> </w:t>
      </w:r>
      <w:proofErr w:type="spellStart"/>
      <w:r w:rsidRPr="00C22DF6">
        <w:rPr>
          <w:lang w:eastAsia="en-GB"/>
        </w:rPr>
        <w:t>al</w:t>
      </w:r>
      <w:proofErr w:type="spellEnd"/>
      <w:r w:rsidRPr="00C22DF6">
        <w:rPr>
          <w:lang w:eastAsia="en-GB"/>
        </w:rPr>
        <w:t>., 20</w:t>
      </w:r>
      <w:r w:rsidR="005B2E40">
        <w:rPr>
          <w:lang w:eastAsia="en-GB"/>
        </w:rPr>
        <w:t>20</w:t>
      </w:r>
      <w:r w:rsidRPr="00C22DF6">
        <w:rPr>
          <w:lang w:eastAsia="en-GB"/>
        </w:rPr>
        <w:t>). Эти уточнения были внесены наряду с постоянно расширяющимся сбором данных, в ходе которого были предприняты серьезные усилия по контролю качества. Из-за увеличения доступности данных заимствование информации по регионам больше не является необходим</w:t>
      </w:r>
      <w:r w:rsidR="00C22DF6" w:rsidRPr="00C22DF6">
        <w:rPr>
          <w:lang w:eastAsia="en-GB"/>
        </w:rPr>
        <w:t>ым</w:t>
      </w:r>
      <w:r w:rsidRPr="00C22DF6">
        <w:rPr>
          <w:lang w:eastAsia="en-GB"/>
        </w:rPr>
        <w:t>, поэтому время теперь является единственной</w:t>
      </w:r>
      <w:r w:rsidR="00C22DF6" w:rsidRPr="00C22DF6">
        <w:rPr>
          <w:lang w:eastAsia="en-GB"/>
        </w:rPr>
        <w:t xml:space="preserve"> случайной величиной</w:t>
      </w:r>
      <w:r w:rsidRPr="00C22DF6">
        <w:rPr>
          <w:lang w:eastAsia="en-GB"/>
        </w:rPr>
        <w:t>.</w:t>
      </w:r>
    </w:p>
    <w:p w14:paraId="67A8156F" w14:textId="77777777" w:rsidR="00547F84" w:rsidRPr="00C22DF6" w:rsidRDefault="00547F84" w:rsidP="00547F84">
      <w:pPr>
        <w:rPr>
          <w:lang w:eastAsia="en-GB"/>
        </w:rPr>
      </w:pPr>
      <w:r w:rsidRPr="00C22DF6">
        <w:rPr>
          <w:lang w:eastAsia="en-GB"/>
        </w:rPr>
        <w:lastRenderedPageBreak/>
        <w:t>В обоих случаях, когда модель менялась, ВОЗ пров</w:t>
      </w:r>
      <w:r w:rsidR="00C22DF6" w:rsidRPr="00C22DF6">
        <w:rPr>
          <w:lang w:eastAsia="en-GB"/>
        </w:rPr>
        <w:t>одила</w:t>
      </w:r>
      <w:r w:rsidRPr="00C22DF6">
        <w:rPr>
          <w:lang w:eastAsia="en-GB"/>
        </w:rPr>
        <w:t xml:space="preserve"> тщательный анализ чувствительности, включая полные сравнения оценок между существующей моделью и </w:t>
      </w:r>
      <w:r w:rsidR="00C22DF6" w:rsidRPr="00C22DF6">
        <w:rPr>
          <w:lang w:eastAsia="en-GB"/>
        </w:rPr>
        <w:t>другой возможной моделью</w:t>
      </w:r>
      <w:r w:rsidRPr="00C22DF6">
        <w:rPr>
          <w:lang w:eastAsia="en-GB"/>
        </w:rPr>
        <w:t>. В большинстве случаев оценки доли, использующей чисты</w:t>
      </w:r>
      <w:r w:rsidR="00C22DF6" w:rsidRPr="00C22DF6">
        <w:rPr>
          <w:lang w:eastAsia="en-GB"/>
        </w:rPr>
        <w:t>е виды топлива, мало изменились</w:t>
      </w:r>
      <w:r w:rsidRPr="00C22DF6">
        <w:rPr>
          <w:lang w:eastAsia="en-GB"/>
        </w:rPr>
        <w:t xml:space="preserve"> </w:t>
      </w:r>
      <w:r w:rsidR="00C22DF6" w:rsidRPr="00C22DF6">
        <w:rPr>
          <w:lang w:eastAsia="en-GB"/>
        </w:rPr>
        <w:t>(</w:t>
      </w:r>
      <w:r w:rsidRPr="00C22DF6">
        <w:rPr>
          <w:lang w:eastAsia="en-GB"/>
        </w:rPr>
        <w:t xml:space="preserve">см. </w:t>
      </w:r>
      <w:r w:rsidR="00C22DF6" w:rsidRPr="00C22DF6">
        <w:rPr>
          <w:lang w:eastAsia="en-GB"/>
        </w:rPr>
        <w:t>п</w:t>
      </w:r>
      <w:r w:rsidRPr="00C22DF6">
        <w:rPr>
          <w:lang w:eastAsia="en-GB"/>
        </w:rPr>
        <w:t>риложение ниже</w:t>
      </w:r>
      <w:r w:rsidR="00C22DF6" w:rsidRPr="00C22DF6">
        <w:rPr>
          <w:lang w:eastAsia="en-GB"/>
        </w:rPr>
        <w:t>)</w:t>
      </w:r>
      <w:r w:rsidRPr="00C22DF6">
        <w:rPr>
          <w:lang w:eastAsia="en-GB"/>
        </w:rPr>
        <w:t xml:space="preserve">. В тех случаях, когда были выявлены более значительные расхождения, они были тщательно исследованы для определения вероятной причины. Многие из них на самом деле были </w:t>
      </w:r>
      <w:r w:rsidR="00C22DF6" w:rsidRPr="00C22DF6">
        <w:rPr>
          <w:lang w:eastAsia="en-GB"/>
        </w:rPr>
        <w:t>получены благодаря</w:t>
      </w:r>
      <w:r w:rsidRPr="00C22DF6">
        <w:rPr>
          <w:lang w:eastAsia="en-GB"/>
        </w:rPr>
        <w:t xml:space="preserve"> новой модели, лучше о</w:t>
      </w:r>
      <w:r w:rsidR="00C22DF6" w:rsidRPr="00C22DF6">
        <w:rPr>
          <w:lang w:eastAsia="en-GB"/>
        </w:rPr>
        <w:t>тражающей нелинейные тенденции.</w:t>
      </w:r>
    </w:p>
    <w:p w14:paraId="364B2568" w14:textId="45EFDB5C" w:rsidR="00547F84" w:rsidRPr="00547F84" w:rsidRDefault="00547F84" w:rsidP="00547F84">
      <w:pPr>
        <w:rPr>
          <w:lang w:eastAsia="en-GB"/>
        </w:rPr>
      </w:pPr>
      <w:r w:rsidRPr="00C22DF6">
        <w:rPr>
          <w:lang w:eastAsia="en-GB"/>
        </w:rPr>
        <w:t>Та же модель используется для версии 202</w:t>
      </w:r>
      <w:r w:rsidR="00CA6DF5">
        <w:rPr>
          <w:lang w:eastAsia="en-GB"/>
        </w:rPr>
        <w:t>2</w:t>
      </w:r>
      <w:r w:rsidRPr="00C22DF6">
        <w:rPr>
          <w:lang w:eastAsia="en-GB"/>
        </w:rPr>
        <w:t xml:space="preserve"> года с обновленными входными данными, как описано в предыдущих разделах.</w:t>
      </w:r>
    </w:p>
    <w:p w14:paraId="7BE6D7B3" w14:textId="77777777" w:rsidR="00040034" w:rsidRPr="00A343D5" w:rsidRDefault="00040034" w:rsidP="00547F8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A343D5">
        <w:rPr>
          <w:rFonts w:eastAsia="Times New Roman" w:cs="Times New Roman"/>
          <w:b/>
          <w:szCs w:val="24"/>
          <w:lang w:eastAsia="en-GB"/>
        </w:rPr>
        <w:t>7. Ссылки и документы</w:t>
      </w:r>
    </w:p>
    <w:p w14:paraId="61EDF4D2" w14:textId="77777777" w:rsidR="00547F84" w:rsidRPr="00E814C0" w:rsidRDefault="00547F84" w:rsidP="00C22DF6">
      <w:pPr>
        <w:spacing w:after="0"/>
        <w:rPr>
          <w:b/>
        </w:rPr>
      </w:pPr>
      <w:r w:rsidRPr="00E814C0">
        <w:rPr>
          <w:b/>
          <w:lang w:val="en-US"/>
        </w:rPr>
        <w:t>URL</w:t>
      </w:r>
      <w:r w:rsidRPr="00E814C0">
        <w:rPr>
          <w:b/>
        </w:rPr>
        <w:t>:</w:t>
      </w:r>
    </w:p>
    <w:p w14:paraId="00D613CE" w14:textId="77777777" w:rsidR="00547F84" w:rsidRPr="00547F84" w:rsidRDefault="00547F84" w:rsidP="00C22DF6">
      <w:pPr>
        <w:spacing w:after="0"/>
      </w:pPr>
    </w:p>
    <w:p w14:paraId="5113F67D" w14:textId="672890CD" w:rsidR="00547F84" w:rsidRPr="00E814C0" w:rsidRDefault="0048623E" w:rsidP="00C22DF6">
      <w:pPr>
        <w:spacing w:after="0"/>
      </w:pPr>
      <w:hyperlink r:id="rId9" w:history="1">
        <w:r w:rsidR="00E814C0" w:rsidRPr="00CB1AFC">
          <w:rPr>
            <w:rStyle w:val="ad"/>
            <w:lang w:val="en-US"/>
          </w:rPr>
          <w:t>https</w:t>
        </w:r>
        <w:r w:rsidR="00E814C0" w:rsidRPr="00CB1AFC">
          <w:rPr>
            <w:rStyle w:val="ad"/>
          </w:rPr>
          <w:t>://</w:t>
        </w:r>
        <w:r w:rsidR="00E814C0" w:rsidRPr="00CB1AFC">
          <w:rPr>
            <w:rStyle w:val="ad"/>
            <w:lang w:val="en-US"/>
          </w:rPr>
          <w:t>www</w:t>
        </w:r>
        <w:r w:rsidR="00E814C0" w:rsidRPr="00CB1AFC">
          <w:rPr>
            <w:rStyle w:val="ad"/>
          </w:rPr>
          <w:t>.</w:t>
        </w:r>
        <w:r w:rsidR="00E814C0" w:rsidRPr="00CB1AFC">
          <w:rPr>
            <w:rStyle w:val="ad"/>
            <w:lang w:val="en-US"/>
          </w:rPr>
          <w:t>who</w:t>
        </w:r>
        <w:r w:rsidR="00E814C0" w:rsidRPr="00CB1AFC">
          <w:rPr>
            <w:rStyle w:val="ad"/>
          </w:rPr>
          <w:t>.</w:t>
        </w:r>
        <w:proofErr w:type="spellStart"/>
        <w:r w:rsidR="00E814C0" w:rsidRPr="00CB1AFC">
          <w:rPr>
            <w:rStyle w:val="ad"/>
            <w:lang w:val="en-US"/>
          </w:rPr>
          <w:t>int</w:t>
        </w:r>
        <w:proofErr w:type="spellEnd"/>
        <w:r w:rsidR="00E814C0" w:rsidRPr="00CB1AFC">
          <w:rPr>
            <w:rStyle w:val="ad"/>
          </w:rPr>
          <w:t>/</w:t>
        </w:r>
        <w:r w:rsidR="00E814C0" w:rsidRPr="00CB1AFC">
          <w:rPr>
            <w:rStyle w:val="ad"/>
            <w:lang w:val="en-US"/>
          </w:rPr>
          <w:t>data</w:t>
        </w:r>
        <w:r w:rsidR="00E814C0" w:rsidRPr="00CB1AFC">
          <w:rPr>
            <w:rStyle w:val="ad"/>
          </w:rPr>
          <w:t>/</w:t>
        </w:r>
        <w:proofErr w:type="spellStart"/>
        <w:r w:rsidR="00E814C0" w:rsidRPr="00CB1AFC">
          <w:rPr>
            <w:rStyle w:val="ad"/>
            <w:lang w:val="en-US"/>
          </w:rPr>
          <w:t>gho</w:t>
        </w:r>
        <w:proofErr w:type="spellEnd"/>
        <w:r w:rsidR="00E814C0" w:rsidRPr="00CB1AFC">
          <w:rPr>
            <w:rStyle w:val="ad"/>
          </w:rPr>
          <w:t>/</w:t>
        </w:r>
        <w:r w:rsidR="00E814C0" w:rsidRPr="00CB1AFC">
          <w:rPr>
            <w:rStyle w:val="ad"/>
            <w:lang w:val="en-US"/>
          </w:rPr>
          <w:t>data</w:t>
        </w:r>
        <w:r w:rsidR="00E814C0" w:rsidRPr="00CB1AFC">
          <w:rPr>
            <w:rStyle w:val="ad"/>
          </w:rPr>
          <w:t>/</w:t>
        </w:r>
        <w:r w:rsidR="00E814C0" w:rsidRPr="00CB1AFC">
          <w:rPr>
            <w:rStyle w:val="ad"/>
            <w:lang w:val="en-US"/>
          </w:rPr>
          <w:t>themes</w:t>
        </w:r>
        <w:r w:rsidR="00E814C0" w:rsidRPr="00CB1AFC">
          <w:rPr>
            <w:rStyle w:val="ad"/>
          </w:rPr>
          <w:t>/</w:t>
        </w:r>
        <w:r w:rsidR="00E814C0" w:rsidRPr="00CB1AFC">
          <w:rPr>
            <w:rStyle w:val="ad"/>
            <w:lang w:val="en-US"/>
          </w:rPr>
          <w:t>air</w:t>
        </w:r>
        <w:r w:rsidR="00E814C0" w:rsidRPr="00CB1AFC">
          <w:rPr>
            <w:rStyle w:val="ad"/>
          </w:rPr>
          <w:t>-</w:t>
        </w:r>
        <w:r w:rsidR="00E814C0" w:rsidRPr="00CB1AFC">
          <w:rPr>
            <w:rStyle w:val="ad"/>
            <w:lang w:val="en-US"/>
          </w:rPr>
          <w:t>pollution</w:t>
        </w:r>
        <w:r w:rsidR="00E814C0" w:rsidRPr="00CB1AFC">
          <w:rPr>
            <w:rStyle w:val="ad"/>
          </w:rPr>
          <w:t>/</w:t>
        </w:r>
        <w:r w:rsidR="00E814C0" w:rsidRPr="00CB1AFC">
          <w:rPr>
            <w:rStyle w:val="ad"/>
            <w:lang w:val="en-US"/>
          </w:rPr>
          <w:t>household</w:t>
        </w:r>
        <w:r w:rsidR="00E814C0" w:rsidRPr="00CB1AFC">
          <w:rPr>
            <w:rStyle w:val="ad"/>
          </w:rPr>
          <w:t>-</w:t>
        </w:r>
        <w:r w:rsidR="00E814C0" w:rsidRPr="00CB1AFC">
          <w:rPr>
            <w:rStyle w:val="ad"/>
            <w:lang w:val="en-US"/>
          </w:rPr>
          <w:t>air</w:t>
        </w:r>
        <w:r w:rsidR="00E814C0" w:rsidRPr="00CB1AFC">
          <w:rPr>
            <w:rStyle w:val="ad"/>
          </w:rPr>
          <w:t>-</w:t>
        </w:r>
        <w:r w:rsidR="00E814C0" w:rsidRPr="00CB1AFC">
          <w:rPr>
            <w:rStyle w:val="ad"/>
            <w:lang w:val="en-US"/>
          </w:rPr>
          <w:t>pollution</w:t>
        </w:r>
      </w:hyperlink>
    </w:p>
    <w:p w14:paraId="59F5A513" w14:textId="77777777" w:rsidR="00B83A84" w:rsidRPr="00FC7314" w:rsidRDefault="00B83A84" w:rsidP="00C22DF6">
      <w:pPr>
        <w:spacing w:after="0"/>
      </w:pPr>
    </w:p>
    <w:p w14:paraId="05E3EE0C" w14:textId="13DB2A62" w:rsidR="00547F84" w:rsidRPr="00547F84" w:rsidRDefault="00547F84" w:rsidP="00C22DF6">
      <w:pPr>
        <w:spacing w:after="0"/>
        <w:rPr>
          <w:lang w:val="en-US"/>
        </w:rPr>
      </w:pPr>
      <w:r w:rsidRPr="00547F84">
        <w:rPr>
          <w:lang w:val="en-US"/>
        </w:rPr>
        <w:t>References:</w:t>
      </w:r>
    </w:p>
    <w:p w14:paraId="142FE8E0" w14:textId="77777777" w:rsidR="00547F84" w:rsidRPr="00547F84" w:rsidRDefault="00547F84" w:rsidP="00C22DF6">
      <w:pPr>
        <w:spacing w:after="0"/>
        <w:rPr>
          <w:lang w:val="en-US"/>
        </w:rPr>
      </w:pPr>
    </w:p>
    <w:p w14:paraId="0D059ACA" w14:textId="77777777" w:rsidR="00547F84" w:rsidRPr="00547F84" w:rsidRDefault="00547F84" w:rsidP="00C22DF6">
      <w:pPr>
        <w:spacing w:after="0"/>
        <w:rPr>
          <w:lang w:val="en-US"/>
        </w:rPr>
      </w:pPr>
      <w:r w:rsidRPr="00547F84">
        <w:rPr>
          <w:lang w:val="en-US"/>
        </w:rPr>
        <w:t>Global Tracking Framework report (2013)</w:t>
      </w:r>
    </w:p>
    <w:p w14:paraId="2B1000D0" w14:textId="1A47FEB6" w:rsidR="00547F84" w:rsidRPr="00E814C0" w:rsidRDefault="0048623E" w:rsidP="00C22DF6">
      <w:pPr>
        <w:spacing w:after="0"/>
      </w:pPr>
      <w:hyperlink r:id="rId10" w:history="1">
        <w:r w:rsidR="00E814C0" w:rsidRPr="00CB1AFC">
          <w:rPr>
            <w:rStyle w:val="ad"/>
            <w:lang w:val="en-US"/>
          </w:rPr>
          <w:t>http://trackingenergy4all.worldbank.org/</w:t>
        </w:r>
      </w:hyperlink>
    </w:p>
    <w:p w14:paraId="1FFC05B4" w14:textId="77777777" w:rsidR="00547F84" w:rsidRPr="00547F84" w:rsidRDefault="00547F84" w:rsidP="00C22DF6">
      <w:pPr>
        <w:spacing w:after="0"/>
        <w:rPr>
          <w:lang w:val="en-US"/>
        </w:rPr>
      </w:pPr>
    </w:p>
    <w:p w14:paraId="22739193" w14:textId="77777777" w:rsidR="00547F84" w:rsidRPr="00547F84" w:rsidRDefault="00547F84" w:rsidP="00C22DF6">
      <w:pPr>
        <w:spacing w:after="0"/>
        <w:rPr>
          <w:lang w:val="en-US"/>
        </w:rPr>
      </w:pPr>
      <w:r w:rsidRPr="00547F84">
        <w:rPr>
          <w:lang w:val="en-US"/>
        </w:rPr>
        <w:t>Global Tracking Framework Report (2015)</w:t>
      </w:r>
    </w:p>
    <w:p w14:paraId="46A47D4F" w14:textId="570357B8" w:rsidR="00547F84" w:rsidRPr="00E814C0" w:rsidRDefault="0048623E" w:rsidP="00C22DF6">
      <w:pPr>
        <w:spacing w:after="0"/>
      </w:pPr>
      <w:hyperlink r:id="rId11" w:history="1">
        <w:r w:rsidR="00E814C0" w:rsidRPr="00CB1AFC">
          <w:rPr>
            <w:rStyle w:val="ad"/>
            <w:lang w:val="en-US"/>
          </w:rPr>
          <w:t>http://trackingenergy4all.worldbank.org/</w:t>
        </w:r>
      </w:hyperlink>
    </w:p>
    <w:p w14:paraId="2F680F6D" w14:textId="77777777" w:rsidR="00547F84" w:rsidRPr="00547F84" w:rsidRDefault="00547F84" w:rsidP="00C22DF6">
      <w:pPr>
        <w:spacing w:after="0"/>
        <w:rPr>
          <w:lang w:val="en-US"/>
        </w:rPr>
      </w:pPr>
    </w:p>
    <w:p w14:paraId="46248643" w14:textId="77777777" w:rsidR="00547F84" w:rsidRPr="00547F84" w:rsidRDefault="00547F84" w:rsidP="00C22DF6">
      <w:pPr>
        <w:spacing w:after="0"/>
        <w:rPr>
          <w:lang w:val="en-US"/>
        </w:rPr>
      </w:pPr>
      <w:r w:rsidRPr="00547F84">
        <w:rPr>
          <w:lang w:val="en-US"/>
        </w:rPr>
        <w:t>Global Tracking Framework database (2015)</w:t>
      </w:r>
    </w:p>
    <w:p w14:paraId="023FA4FD" w14:textId="36491240" w:rsidR="00547F84" w:rsidRPr="00E814C0" w:rsidRDefault="0048623E" w:rsidP="00C22DF6">
      <w:pPr>
        <w:spacing w:after="0"/>
        <w:rPr>
          <w:lang w:val="en-US"/>
        </w:rPr>
      </w:pPr>
      <w:hyperlink r:id="rId12" w:history="1">
        <w:r w:rsidR="00E814C0" w:rsidRPr="00CB1AFC">
          <w:rPr>
            <w:rStyle w:val="ad"/>
            <w:lang w:val="en-US"/>
          </w:rPr>
          <w:t>http://data.worldbank.org/data-catalog/sustainable-energy-for-all</w:t>
        </w:r>
      </w:hyperlink>
    </w:p>
    <w:p w14:paraId="5EA93FEC" w14:textId="77777777" w:rsidR="00547F84" w:rsidRPr="00547F84" w:rsidRDefault="00547F84" w:rsidP="00C22DF6">
      <w:pPr>
        <w:spacing w:after="0"/>
        <w:rPr>
          <w:lang w:val="en-US"/>
        </w:rPr>
      </w:pPr>
    </w:p>
    <w:p w14:paraId="1E061B8D" w14:textId="77777777" w:rsidR="00547F84" w:rsidRPr="00547F84" w:rsidRDefault="00547F84" w:rsidP="00C22DF6">
      <w:pPr>
        <w:spacing w:after="0"/>
        <w:rPr>
          <w:lang w:val="en-US"/>
        </w:rPr>
      </w:pPr>
      <w:r w:rsidRPr="00547F84">
        <w:rPr>
          <w:lang w:val="en-US"/>
        </w:rPr>
        <w:t>Multi-Tier Framework for Measuring Energy Access,</w:t>
      </w:r>
    </w:p>
    <w:p w14:paraId="6B5BC065" w14:textId="2C4DE403" w:rsidR="00547F84" w:rsidRPr="00E814C0" w:rsidRDefault="0048623E" w:rsidP="00C22DF6">
      <w:pPr>
        <w:spacing w:after="0"/>
        <w:rPr>
          <w:lang w:val="en-US"/>
        </w:rPr>
      </w:pPr>
      <w:hyperlink r:id="rId13" w:history="1">
        <w:r w:rsidR="00E814C0" w:rsidRPr="00CB1AFC">
          <w:rPr>
            <w:rStyle w:val="ad"/>
            <w:lang w:val="en-US"/>
          </w:rPr>
          <w:t>https://www.esmap.org/node/55526</w:t>
        </w:r>
      </w:hyperlink>
    </w:p>
    <w:p w14:paraId="39F0CA2B" w14:textId="77777777" w:rsidR="00547F84" w:rsidRPr="00547F84" w:rsidRDefault="00547F84" w:rsidP="00C22DF6">
      <w:pPr>
        <w:spacing w:after="0"/>
        <w:rPr>
          <w:lang w:val="en-US"/>
        </w:rPr>
      </w:pPr>
    </w:p>
    <w:p w14:paraId="6588A79D" w14:textId="43311ADC" w:rsidR="00547F84" w:rsidRPr="00E814C0" w:rsidRDefault="00547F84" w:rsidP="00C22DF6">
      <w:pPr>
        <w:spacing w:after="0"/>
        <w:rPr>
          <w:lang w:val="en-US"/>
        </w:rPr>
      </w:pPr>
      <w:r w:rsidRPr="00547F84">
        <w:rPr>
          <w:lang w:val="en-US"/>
        </w:rPr>
        <w:t xml:space="preserve">WHO Guidelines for indoor air quality: Household Fuel Combustion, WHO (2014) </w:t>
      </w:r>
      <w:hyperlink r:id="rId14" w:history="1">
        <w:r w:rsidR="00E814C0" w:rsidRPr="00CB1AFC">
          <w:rPr>
            <w:rStyle w:val="ad"/>
            <w:lang w:val="en-US"/>
          </w:rPr>
          <w:t>https://www.who.int/publications/i/item/9789241548885</w:t>
        </w:r>
      </w:hyperlink>
    </w:p>
    <w:p w14:paraId="469323A0" w14:textId="77777777" w:rsidR="00547F84" w:rsidRPr="00547F84" w:rsidRDefault="00547F84" w:rsidP="00C22DF6">
      <w:pPr>
        <w:spacing w:after="0"/>
        <w:rPr>
          <w:lang w:val="en-US"/>
        </w:rPr>
      </w:pPr>
    </w:p>
    <w:p w14:paraId="185E5F17" w14:textId="30848478" w:rsidR="00547F84" w:rsidRPr="00547F84" w:rsidRDefault="00B83A84" w:rsidP="00B83A84">
      <w:pPr>
        <w:spacing w:after="0"/>
        <w:rPr>
          <w:lang w:val="en-US"/>
        </w:rPr>
      </w:pPr>
      <w:proofErr w:type="gramStart"/>
      <w:r w:rsidRPr="00B83A84">
        <w:rPr>
          <w:lang w:val="en-US"/>
        </w:rPr>
        <w:t xml:space="preserve">Stoner, O., </w:t>
      </w:r>
      <w:proofErr w:type="spellStart"/>
      <w:r w:rsidRPr="00B83A84">
        <w:rPr>
          <w:lang w:val="en-US"/>
        </w:rPr>
        <w:t>Shaddick</w:t>
      </w:r>
      <w:proofErr w:type="spellEnd"/>
      <w:r w:rsidRPr="00B83A84">
        <w:rPr>
          <w:lang w:val="en-US"/>
        </w:rPr>
        <w:t xml:space="preserve">, G., </w:t>
      </w:r>
      <w:proofErr w:type="spellStart"/>
      <w:r w:rsidRPr="00B83A84">
        <w:rPr>
          <w:lang w:val="en-US"/>
        </w:rPr>
        <w:t>Economou</w:t>
      </w:r>
      <w:proofErr w:type="spellEnd"/>
      <w:r w:rsidRPr="00B83A84">
        <w:rPr>
          <w:lang w:val="en-US"/>
        </w:rPr>
        <w:t xml:space="preserve">, T., </w:t>
      </w:r>
      <w:proofErr w:type="spellStart"/>
      <w:r w:rsidRPr="00B83A84">
        <w:rPr>
          <w:lang w:val="en-US"/>
        </w:rPr>
        <w:t>Gumy</w:t>
      </w:r>
      <w:proofErr w:type="spellEnd"/>
      <w:r w:rsidRPr="00B83A84">
        <w:rPr>
          <w:lang w:val="en-US"/>
        </w:rPr>
        <w:t>, S., Lewis, J., Lucio, I., Ruggeri, G., &amp; Adair-</w:t>
      </w:r>
      <w:proofErr w:type="spellStart"/>
      <w:r w:rsidRPr="00B83A84">
        <w:rPr>
          <w:lang w:val="en-US"/>
        </w:rPr>
        <w:t>Rohani</w:t>
      </w:r>
      <w:proofErr w:type="spellEnd"/>
      <w:r w:rsidRPr="00B83A84">
        <w:rPr>
          <w:lang w:val="en-US"/>
        </w:rPr>
        <w:t xml:space="preserve"> H. (2020) Global household energy model: a multivariate hierarchical approach to estimating trends in the use of polluting and clean fuels for cooking.</w:t>
      </w:r>
      <w:proofErr w:type="gramEnd"/>
      <w:r w:rsidRPr="00B83A84">
        <w:rPr>
          <w:lang w:val="en-US"/>
        </w:rPr>
        <w:t xml:space="preserve"> Journal of the Royal Statistical Society: Series C (Applied Statistics) 69(4), 815-839. DOI: 10.1111/rssc.12428</w:t>
      </w:r>
    </w:p>
    <w:p w14:paraId="6E9A4518" w14:textId="77777777" w:rsidR="00B83A84" w:rsidRDefault="00B83A84" w:rsidP="00C22DF6">
      <w:pPr>
        <w:spacing w:after="0"/>
        <w:rPr>
          <w:lang w:val="en-US"/>
        </w:rPr>
      </w:pPr>
    </w:p>
    <w:p w14:paraId="7772C740" w14:textId="66DAAFE1" w:rsidR="00547F84" w:rsidRPr="00547F84" w:rsidRDefault="00547F84" w:rsidP="00C22DF6">
      <w:pPr>
        <w:spacing w:after="0"/>
        <w:rPr>
          <w:lang w:val="en-US"/>
        </w:rPr>
      </w:pPr>
      <w:r w:rsidRPr="00547F84">
        <w:rPr>
          <w:lang w:val="en-US"/>
        </w:rPr>
        <w:t>Bonjour S, Adair-</w:t>
      </w:r>
      <w:proofErr w:type="spellStart"/>
      <w:r w:rsidRPr="00547F84">
        <w:rPr>
          <w:lang w:val="en-US"/>
        </w:rPr>
        <w:t>Rohani</w:t>
      </w:r>
      <w:proofErr w:type="spellEnd"/>
      <w:r w:rsidRPr="00547F84">
        <w:rPr>
          <w:lang w:val="en-US"/>
        </w:rPr>
        <w:t xml:space="preserve"> H, Wolf J, Bruce NG, Mehta S, </w:t>
      </w:r>
      <w:proofErr w:type="spellStart"/>
      <w:r w:rsidRPr="00547F84">
        <w:rPr>
          <w:lang w:val="en-US"/>
        </w:rPr>
        <w:t>Prüss-Ustün</w:t>
      </w:r>
      <w:proofErr w:type="spellEnd"/>
      <w:r w:rsidRPr="00547F84">
        <w:rPr>
          <w:lang w:val="en-US"/>
        </w:rPr>
        <w:t xml:space="preserve"> A, </w:t>
      </w:r>
      <w:proofErr w:type="spellStart"/>
      <w:r w:rsidRPr="00547F84">
        <w:rPr>
          <w:lang w:val="en-US"/>
        </w:rPr>
        <w:t>Lahiff</w:t>
      </w:r>
      <w:proofErr w:type="spellEnd"/>
      <w:r w:rsidRPr="00547F84">
        <w:rPr>
          <w:lang w:val="en-US"/>
        </w:rPr>
        <w:t xml:space="preserve"> M, </w:t>
      </w:r>
      <w:proofErr w:type="spellStart"/>
      <w:r w:rsidRPr="00547F84">
        <w:rPr>
          <w:lang w:val="en-US"/>
        </w:rPr>
        <w:t>Rehfuess</w:t>
      </w:r>
      <w:proofErr w:type="spellEnd"/>
      <w:r w:rsidRPr="00547F84">
        <w:rPr>
          <w:lang w:val="en-US"/>
        </w:rPr>
        <w:t xml:space="preserve"> EA, Mishra V, and Smith KR (2013). Solid Fuel Use for Household Cooking: Country and Regional Estimates for 1980–2010. Environmental Health Perspectives 121:7 CID: https://doi.org/10.1289/ehp.1205987</w:t>
      </w:r>
    </w:p>
    <w:p w14:paraId="0952D08C" w14:textId="77777777" w:rsidR="00547F84" w:rsidRPr="00547F84" w:rsidRDefault="00547F84" w:rsidP="00C22DF6">
      <w:pPr>
        <w:spacing w:after="0"/>
        <w:rPr>
          <w:lang w:val="en-US"/>
        </w:rPr>
      </w:pPr>
    </w:p>
    <w:p w14:paraId="49174CB9" w14:textId="77777777" w:rsidR="00547F84" w:rsidRPr="00547F84" w:rsidRDefault="00547F84" w:rsidP="00C22DF6">
      <w:pPr>
        <w:spacing w:after="0"/>
        <w:rPr>
          <w:lang w:val="en-US"/>
        </w:rPr>
      </w:pPr>
      <w:r w:rsidRPr="00547F84">
        <w:rPr>
          <w:lang w:val="en-US"/>
        </w:rPr>
        <w:t>Population using solid fuels meta-data, WHO</w:t>
      </w:r>
    </w:p>
    <w:p w14:paraId="1DE72216" w14:textId="4DE0469C" w:rsidR="00547F84" w:rsidRPr="00E814C0" w:rsidRDefault="0048623E" w:rsidP="00C22DF6">
      <w:pPr>
        <w:spacing w:after="0"/>
        <w:rPr>
          <w:lang w:val="en-US"/>
        </w:rPr>
      </w:pPr>
      <w:hyperlink r:id="rId15" w:history="1">
        <w:r w:rsidR="00E814C0" w:rsidRPr="00CB1AFC">
          <w:rPr>
            <w:rStyle w:val="ad"/>
            <w:lang w:val="en-US"/>
          </w:rPr>
          <w:t>http://apps.who.int/gho/indicatorregistry/App_Main/view_indicator.aspx?iid=318</w:t>
        </w:r>
      </w:hyperlink>
    </w:p>
    <w:p w14:paraId="47136768" w14:textId="77777777" w:rsidR="00D31F63" w:rsidRPr="001A0336" w:rsidRDefault="00D31F63" w:rsidP="00C22DF6">
      <w:pPr>
        <w:pStyle w:val="MText"/>
        <w:rPr>
          <w:color w:val="auto"/>
          <w:sz w:val="24"/>
          <w:szCs w:val="24"/>
          <w:lang w:val="en-US"/>
        </w:rPr>
      </w:pPr>
    </w:p>
    <w:p w14:paraId="4E72CA36" w14:textId="77777777" w:rsidR="00547F84" w:rsidRPr="00486632" w:rsidRDefault="00547F84" w:rsidP="00C22DF6">
      <w:pPr>
        <w:pStyle w:val="MText"/>
        <w:rPr>
          <w:b/>
          <w:color w:val="auto"/>
          <w:sz w:val="24"/>
          <w:szCs w:val="24"/>
          <w:lang w:val="ru-RU"/>
        </w:rPr>
      </w:pPr>
      <w:r w:rsidRPr="00486632">
        <w:rPr>
          <w:b/>
          <w:color w:val="auto"/>
          <w:sz w:val="24"/>
          <w:szCs w:val="24"/>
          <w:lang w:val="ru-RU"/>
        </w:rPr>
        <w:t xml:space="preserve">Приложение </w:t>
      </w:r>
    </w:p>
    <w:p w14:paraId="1ACE00A9" w14:textId="26A5FF3D" w:rsidR="00C22DF6" w:rsidRDefault="00547F84" w:rsidP="00547F84">
      <w:pPr>
        <w:pStyle w:val="MText"/>
        <w:rPr>
          <w:color w:val="auto"/>
          <w:sz w:val="24"/>
          <w:szCs w:val="24"/>
          <w:lang w:val="ru-RU"/>
        </w:rPr>
      </w:pPr>
      <w:r w:rsidRPr="00547F84">
        <w:rPr>
          <w:color w:val="auto"/>
          <w:sz w:val="24"/>
          <w:szCs w:val="24"/>
          <w:lang w:val="ru-RU"/>
        </w:rPr>
        <w:t xml:space="preserve">График сравнения представлен, чтобы проиллюстрировать различия между существующей моделью и </w:t>
      </w:r>
      <w:r>
        <w:rPr>
          <w:color w:val="auto"/>
          <w:sz w:val="24"/>
          <w:szCs w:val="24"/>
          <w:lang w:val="ru-RU"/>
        </w:rPr>
        <w:t>возможной моделью</w:t>
      </w:r>
      <w:r w:rsidRPr="00547F84">
        <w:rPr>
          <w:color w:val="auto"/>
          <w:sz w:val="24"/>
          <w:szCs w:val="24"/>
          <w:lang w:val="ru-RU"/>
        </w:rPr>
        <w:t xml:space="preserve">. Расчетные значения для каждого из регионов ВОЗ нанесены на график, демонстрирующий согласованность между существующей моделью и </w:t>
      </w:r>
      <w:r w:rsidR="00C22DF6" w:rsidRPr="00C22DF6">
        <w:rPr>
          <w:color w:val="auto"/>
          <w:sz w:val="24"/>
          <w:szCs w:val="24"/>
          <w:lang w:val="ru-RU"/>
        </w:rPr>
        <w:t>возможной моделью</w:t>
      </w:r>
      <w:r w:rsidRPr="00547F84">
        <w:rPr>
          <w:color w:val="auto"/>
          <w:sz w:val="24"/>
          <w:szCs w:val="24"/>
          <w:lang w:val="ru-RU"/>
        </w:rPr>
        <w:t>.</w:t>
      </w:r>
    </w:p>
    <w:p w14:paraId="29613CAB" w14:textId="77777777" w:rsidR="007B16C7" w:rsidRDefault="007B16C7" w:rsidP="00547F84">
      <w:pPr>
        <w:pStyle w:val="MText"/>
        <w:rPr>
          <w:color w:val="auto"/>
          <w:sz w:val="24"/>
          <w:szCs w:val="24"/>
          <w:lang w:val="ru-RU"/>
        </w:rPr>
      </w:pPr>
    </w:p>
    <w:p w14:paraId="12614849" w14:textId="6FEBEBA1" w:rsidR="007B16C7" w:rsidRPr="00547F84" w:rsidRDefault="007B16C7" w:rsidP="00547F84">
      <w:pPr>
        <w:pStyle w:val="MText"/>
        <w:rPr>
          <w:color w:val="auto"/>
          <w:sz w:val="24"/>
          <w:szCs w:val="24"/>
          <w:lang w:val="ru-RU"/>
        </w:rPr>
      </w:pPr>
      <w:r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48BB7FB1" wp14:editId="7E4C17A9">
            <wp:extent cx="5940212" cy="482138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_7.1.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6C7" w:rsidRPr="00547F84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56AD9" w14:textId="77777777" w:rsidR="00E34396" w:rsidRDefault="00E34396" w:rsidP="00F73DBC">
      <w:pPr>
        <w:spacing w:after="0" w:line="240" w:lineRule="auto"/>
      </w:pPr>
      <w:r>
        <w:separator/>
      </w:r>
    </w:p>
  </w:endnote>
  <w:endnote w:type="continuationSeparator" w:id="0">
    <w:p w14:paraId="29BDE98F" w14:textId="77777777" w:rsidR="00E34396" w:rsidRDefault="00E34396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CA289" w14:textId="77777777" w:rsidR="00E34396" w:rsidRDefault="00E34396" w:rsidP="00F73DBC">
      <w:pPr>
        <w:spacing w:after="0" w:line="240" w:lineRule="auto"/>
      </w:pPr>
      <w:r>
        <w:separator/>
      </w:r>
    </w:p>
  </w:footnote>
  <w:footnote w:type="continuationSeparator" w:id="0">
    <w:p w14:paraId="62AE06D9" w14:textId="77777777" w:rsidR="00E34396" w:rsidRDefault="00E34396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18EE" w14:textId="77777777" w:rsidR="00FE53A5" w:rsidRDefault="00FE53A5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14:paraId="5DD93136" w14:textId="53EB81A0" w:rsidR="00FE53A5" w:rsidRPr="009508D1" w:rsidRDefault="00FE53A5" w:rsidP="009508D1">
    <w:pPr>
      <w:pStyle w:val="af"/>
      <w:jc w:val="right"/>
    </w:pPr>
    <w:r>
      <w:t xml:space="preserve">Последнее обновление: </w:t>
    </w:r>
    <w:r w:rsidR="0048623E">
      <w:t>август</w:t>
    </w:r>
    <w:r w:rsidR="00FC7314">
      <w:t xml:space="preserve"> 2023</w:t>
    </w:r>
  </w:p>
  <w:p w14:paraId="7041BAC8" w14:textId="77777777" w:rsidR="00FE53A5" w:rsidRDefault="00FE53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E5"/>
    <w:multiLevelType w:val="hybridMultilevel"/>
    <w:tmpl w:val="31A0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A1AEA"/>
    <w:multiLevelType w:val="hybridMultilevel"/>
    <w:tmpl w:val="4636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A3170"/>
    <w:multiLevelType w:val="hybridMultilevel"/>
    <w:tmpl w:val="9970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E6B63"/>
    <w:multiLevelType w:val="hybridMultilevel"/>
    <w:tmpl w:val="1888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8005A"/>
    <w:multiLevelType w:val="hybridMultilevel"/>
    <w:tmpl w:val="D9A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52759"/>
    <w:multiLevelType w:val="hybridMultilevel"/>
    <w:tmpl w:val="774A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055F4"/>
    <w:multiLevelType w:val="hybridMultilevel"/>
    <w:tmpl w:val="61020764"/>
    <w:lvl w:ilvl="0" w:tplc="F68AC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6140"/>
    <w:rsid w:val="00017B67"/>
    <w:rsid w:val="00040034"/>
    <w:rsid w:val="00043C54"/>
    <w:rsid w:val="000447FB"/>
    <w:rsid w:val="00053D20"/>
    <w:rsid w:val="00062184"/>
    <w:rsid w:val="00066024"/>
    <w:rsid w:val="000A210D"/>
    <w:rsid w:val="000A229E"/>
    <w:rsid w:val="000A47E6"/>
    <w:rsid w:val="000C4EE2"/>
    <w:rsid w:val="00102CC7"/>
    <w:rsid w:val="00104284"/>
    <w:rsid w:val="00110FE3"/>
    <w:rsid w:val="0011581A"/>
    <w:rsid w:val="00116248"/>
    <w:rsid w:val="00120E95"/>
    <w:rsid w:val="00122608"/>
    <w:rsid w:val="00133E22"/>
    <w:rsid w:val="00146B30"/>
    <w:rsid w:val="00146FDC"/>
    <w:rsid w:val="001470A2"/>
    <w:rsid w:val="001505DD"/>
    <w:rsid w:val="00151C00"/>
    <w:rsid w:val="0015685B"/>
    <w:rsid w:val="001577EB"/>
    <w:rsid w:val="00162B33"/>
    <w:rsid w:val="00165896"/>
    <w:rsid w:val="00180F66"/>
    <w:rsid w:val="001A0336"/>
    <w:rsid w:val="001A163A"/>
    <w:rsid w:val="001D07BD"/>
    <w:rsid w:val="001E2FC9"/>
    <w:rsid w:val="001F5F8F"/>
    <w:rsid w:val="00220DFC"/>
    <w:rsid w:val="002451DF"/>
    <w:rsid w:val="002540B1"/>
    <w:rsid w:val="00263E57"/>
    <w:rsid w:val="002A3189"/>
    <w:rsid w:val="002A4C97"/>
    <w:rsid w:val="002B2508"/>
    <w:rsid w:val="002E122C"/>
    <w:rsid w:val="002E15F9"/>
    <w:rsid w:val="002E2DAB"/>
    <w:rsid w:val="002F63E5"/>
    <w:rsid w:val="00303D71"/>
    <w:rsid w:val="003064BC"/>
    <w:rsid w:val="003143BC"/>
    <w:rsid w:val="003222D7"/>
    <w:rsid w:val="00351952"/>
    <w:rsid w:val="003563A7"/>
    <w:rsid w:val="0036079F"/>
    <w:rsid w:val="003746BC"/>
    <w:rsid w:val="00376FE6"/>
    <w:rsid w:val="00393B97"/>
    <w:rsid w:val="00393D10"/>
    <w:rsid w:val="00397764"/>
    <w:rsid w:val="003A389C"/>
    <w:rsid w:val="003B2CF2"/>
    <w:rsid w:val="003B340F"/>
    <w:rsid w:val="003E03CC"/>
    <w:rsid w:val="004066A3"/>
    <w:rsid w:val="00407E4E"/>
    <w:rsid w:val="00407EC0"/>
    <w:rsid w:val="004143B4"/>
    <w:rsid w:val="00422DE3"/>
    <w:rsid w:val="00446A24"/>
    <w:rsid w:val="00452544"/>
    <w:rsid w:val="00453CF8"/>
    <w:rsid w:val="00465587"/>
    <w:rsid w:val="00467FE9"/>
    <w:rsid w:val="004713D6"/>
    <w:rsid w:val="00480D4F"/>
    <w:rsid w:val="004811F4"/>
    <w:rsid w:val="0048623E"/>
    <w:rsid w:val="00486632"/>
    <w:rsid w:val="004B638C"/>
    <w:rsid w:val="004B6FA0"/>
    <w:rsid w:val="004C5A13"/>
    <w:rsid w:val="004D283B"/>
    <w:rsid w:val="004E087E"/>
    <w:rsid w:val="00504CD2"/>
    <w:rsid w:val="005126D2"/>
    <w:rsid w:val="00514C74"/>
    <w:rsid w:val="00543050"/>
    <w:rsid w:val="00547F84"/>
    <w:rsid w:val="005574FA"/>
    <w:rsid w:val="005700AB"/>
    <w:rsid w:val="00577C9B"/>
    <w:rsid w:val="0059042F"/>
    <w:rsid w:val="005912B9"/>
    <w:rsid w:val="00596419"/>
    <w:rsid w:val="005974D1"/>
    <w:rsid w:val="005A0EA5"/>
    <w:rsid w:val="005B2E40"/>
    <w:rsid w:val="005C123D"/>
    <w:rsid w:val="005D3CCA"/>
    <w:rsid w:val="005E2ABC"/>
    <w:rsid w:val="005E47BD"/>
    <w:rsid w:val="005F5D78"/>
    <w:rsid w:val="006120E1"/>
    <w:rsid w:val="00614A77"/>
    <w:rsid w:val="00616FDD"/>
    <w:rsid w:val="00623607"/>
    <w:rsid w:val="006308D5"/>
    <w:rsid w:val="00642663"/>
    <w:rsid w:val="00647C5F"/>
    <w:rsid w:val="00654380"/>
    <w:rsid w:val="006677B0"/>
    <w:rsid w:val="00694160"/>
    <w:rsid w:val="00696D77"/>
    <w:rsid w:val="006B260E"/>
    <w:rsid w:val="006B3939"/>
    <w:rsid w:val="006D2F36"/>
    <w:rsid w:val="006D59D0"/>
    <w:rsid w:val="006D7049"/>
    <w:rsid w:val="006E66FC"/>
    <w:rsid w:val="006F1198"/>
    <w:rsid w:val="006F4DA0"/>
    <w:rsid w:val="006F5EC4"/>
    <w:rsid w:val="00702333"/>
    <w:rsid w:val="007049EB"/>
    <w:rsid w:val="00704A8D"/>
    <w:rsid w:val="00705161"/>
    <w:rsid w:val="00707E86"/>
    <w:rsid w:val="00711277"/>
    <w:rsid w:val="00711BD6"/>
    <w:rsid w:val="007235FA"/>
    <w:rsid w:val="007321BB"/>
    <w:rsid w:val="00752EB8"/>
    <w:rsid w:val="0075371E"/>
    <w:rsid w:val="007537A7"/>
    <w:rsid w:val="00766689"/>
    <w:rsid w:val="00780F08"/>
    <w:rsid w:val="0078233F"/>
    <w:rsid w:val="0078726E"/>
    <w:rsid w:val="007B0CFD"/>
    <w:rsid w:val="007B0D42"/>
    <w:rsid w:val="007B16C7"/>
    <w:rsid w:val="007C27E0"/>
    <w:rsid w:val="007C6471"/>
    <w:rsid w:val="007C6FBC"/>
    <w:rsid w:val="007D1185"/>
    <w:rsid w:val="007D49DE"/>
    <w:rsid w:val="007D5373"/>
    <w:rsid w:val="007D5E35"/>
    <w:rsid w:val="007E1402"/>
    <w:rsid w:val="007E6317"/>
    <w:rsid w:val="007E6CE7"/>
    <w:rsid w:val="0082082A"/>
    <w:rsid w:val="008501F4"/>
    <w:rsid w:val="00853C09"/>
    <w:rsid w:val="008616D9"/>
    <w:rsid w:val="008A3A19"/>
    <w:rsid w:val="008A7977"/>
    <w:rsid w:val="008B47E0"/>
    <w:rsid w:val="00900860"/>
    <w:rsid w:val="00902C4F"/>
    <w:rsid w:val="0094218F"/>
    <w:rsid w:val="0094718C"/>
    <w:rsid w:val="00947FA7"/>
    <w:rsid w:val="009508D1"/>
    <w:rsid w:val="009558D8"/>
    <w:rsid w:val="00957A62"/>
    <w:rsid w:val="00964BE9"/>
    <w:rsid w:val="00980F79"/>
    <w:rsid w:val="009843DD"/>
    <w:rsid w:val="00990634"/>
    <w:rsid w:val="009917DD"/>
    <w:rsid w:val="009926D9"/>
    <w:rsid w:val="00995788"/>
    <w:rsid w:val="009B2320"/>
    <w:rsid w:val="009B3820"/>
    <w:rsid w:val="009B6CB3"/>
    <w:rsid w:val="009B78A2"/>
    <w:rsid w:val="009D078D"/>
    <w:rsid w:val="009D31AD"/>
    <w:rsid w:val="009E56C1"/>
    <w:rsid w:val="009E707C"/>
    <w:rsid w:val="009F0769"/>
    <w:rsid w:val="009F4A17"/>
    <w:rsid w:val="00A06695"/>
    <w:rsid w:val="00A1100A"/>
    <w:rsid w:val="00A1299E"/>
    <w:rsid w:val="00A343D5"/>
    <w:rsid w:val="00A41B68"/>
    <w:rsid w:val="00A44394"/>
    <w:rsid w:val="00A56B34"/>
    <w:rsid w:val="00A618FC"/>
    <w:rsid w:val="00A71EC6"/>
    <w:rsid w:val="00A7394E"/>
    <w:rsid w:val="00A73CA7"/>
    <w:rsid w:val="00A91FDE"/>
    <w:rsid w:val="00AB48B5"/>
    <w:rsid w:val="00AC112C"/>
    <w:rsid w:val="00B0378B"/>
    <w:rsid w:val="00B179C9"/>
    <w:rsid w:val="00B17F13"/>
    <w:rsid w:val="00B51BC3"/>
    <w:rsid w:val="00B62ECD"/>
    <w:rsid w:val="00B63025"/>
    <w:rsid w:val="00B72F77"/>
    <w:rsid w:val="00B83A84"/>
    <w:rsid w:val="00B86D93"/>
    <w:rsid w:val="00BA05C5"/>
    <w:rsid w:val="00BD29EC"/>
    <w:rsid w:val="00BD2BB0"/>
    <w:rsid w:val="00BD4EBD"/>
    <w:rsid w:val="00BE4D76"/>
    <w:rsid w:val="00BE4F1D"/>
    <w:rsid w:val="00BE70C8"/>
    <w:rsid w:val="00BF45BF"/>
    <w:rsid w:val="00BF6CCF"/>
    <w:rsid w:val="00C013D8"/>
    <w:rsid w:val="00C03806"/>
    <w:rsid w:val="00C1236A"/>
    <w:rsid w:val="00C22DF6"/>
    <w:rsid w:val="00C25229"/>
    <w:rsid w:val="00C34D1D"/>
    <w:rsid w:val="00C645C4"/>
    <w:rsid w:val="00C66AB0"/>
    <w:rsid w:val="00C74767"/>
    <w:rsid w:val="00C8163F"/>
    <w:rsid w:val="00C83435"/>
    <w:rsid w:val="00C8596F"/>
    <w:rsid w:val="00C909FE"/>
    <w:rsid w:val="00C95868"/>
    <w:rsid w:val="00C96C28"/>
    <w:rsid w:val="00CA1CB1"/>
    <w:rsid w:val="00CA6DF5"/>
    <w:rsid w:val="00CE66C3"/>
    <w:rsid w:val="00CF7625"/>
    <w:rsid w:val="00D006C1"/>
    <w:rsid w:val="00D05466"/>
    <w:rsid w:val="00D1082C"/>
    <w:rsid w:val="00D11513"/>
    <w:rsid w:val="00D155A5"/>
    <w:rsid w:val="00D15CDC"/>
    <w:rsid w:val="00D17498"/>
    <w:rsid w:val="00D27196"/>
    <w:rsid w:val="00D273C6"/>
    <w:rsid w:val="00D31664"/>
    <w:rsid w:val="00D31F63"/>
    <w:rsid w:val="00D50F75"/>
    <w:rsid w:val="00D54600"/>
    <w:rsid w:val="00D604B3"/>
    <w:rsid w:val="00D636C1"/>
    <w:rsid w:val="00D644B9"/>
    <w:rsid w:val="00D65C2C"/>
    <w:rsid w:val="00D65EF2"/>
    <w:rsid w:val="00D71A86"/>
    <w:rsid w:val="00D91D5D"/>
    <w:rsid w:val="00DB3A18"/>
    <w:rsid w:val="00DD22E8"/>
    <w:rsid w:val="00DD4453"/>
    <w:rsid w:val="00DD45F3"/>
    <w:rsid w:val="00DF1D2F"/>
    <w:rsid w:val="00E206E6"/>
    <w:rsid w:val="00E21B43"/>
    <w:rsid w:val="00E27922"/>
    <w:rsid w:val="00E33CA8"/>
    <w:rsid w:val="00E34396"/>
    <w:rsid w:val="00E34C59"/>
    <w:rsid w:val="00E4414F"/>
    <w:rsid w:val="00E5450F"/>
    <w:rsid w:val="00E55C4C"/>
    <w:rsid w:val="00E7596B"/>
    <w:rsid w:val="00E814C0"/>
    <w:rsid w:val="00E834AD"/>
    <w:rsid w:val="00E83733"/>
    <w:rsid w:val="00E85FEF"/>
    <w:rsid w:val="00E90BD4"/>
    <w:rsid w:val="00EA60C7"/>
    <w:rsid w:val="00EB1910"/>
    <w:rsid w:val="00EB389E"/>
    <w:rsid w:val="00EB4BF7"/>
    <w:rsid w:val="00EB4CBB"/>
    <w:rsid w:val="00EC3F04"/>
    <w:rsid w:val="00ED78C9"/>
    <w:rsid w:val="00EE3914"/>
    <w:rsid w:val="00EE3BB4"/>
    <w:rsid w:val="00EF3886"/>
    <w:rsid w:val="00EF47D7"/>
    <w:rsid w:val="00F02710"/>
    <w:rsid w:val="00F03521"/>
    <w:rsid w:val="00F41480"/>
    <w:rsid w:val="00F6371F"/>
    <w:rsid w:val="00F66E7B"/>
    <w:rsid w:val="00F73DBC"/>
    <w:rsid w:val="00F84FF1"/>
    <w:rsid w:val="00FC45D9"/>
    <w:rsid w:val="00FC7314"/>
    <w:rsid w:val="00FD0C77"/>
    <w:rsid w:val="00FE35CF"/>
    <w:rsid w:val="00FE53A5"/>
    <w:rsid w:val="00FE79B4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1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 w:themeColor="hyperlink"/>
      <w:u w:val="single"/>
    </w:rPr>
  </w:style>
  <w:style w:type="table" w:styleId="ae">
    <w:name w:val="Light Shading"/>
    <w:basedOn w:val="a2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-11">
    <w:name w:val="Таблица-сетка 1 светлая1"/>
    <w:basedOn w:val="a2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Theme="minorHAnsi" w:hAnsiTheme="minorHAns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Theme="minorHAnsi" w:eastAsia="Times New Roman" w:hAnsiTheme="minorHAnsi" w:cs="Times New Roman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Theme="minorHAnsi" w:eastAsia="Times New Roman" w:hAnsiTheme="minorHAnsi" w:cs="Times New Roman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Theme="minorEastAsia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Theme="minorEastAsia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Theme="minorEastAsia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Theme="minorEastAsia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fr-CH" w:eastAsia="fr-CH"/>
    </w:rPr>
  </w:style>
  <w:style w:type="table" w:customStyle="1" w:styleId="11">
    <w:name w:val="Сетка таблицы светлая1"/>
    <w:basedOn w:val="a2"/>
    <w:uiPriority w:val="40"/>
    <w:rsid w:val="00BA05C5"/>
    <w:pPr>
      <w:spacing w:after="0" w:line="240" w:lineRule="auto"/>
    </w:pPr>
    <w:rPr>
      <w:rFonts w:eastAsiaTheme="minorEastAsia"/>
      <w:lang w:val="en-GB" w:eastAsia="zh-C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No Spacing"/>
    <w:uiPriority w:val="1"/>
    <w:qFormat/>
    <w:rsid w:val="009558D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2">
    <w:name w:val="Сетка таблицы1"/>
    <w:basedOn w:val="a2"/>
    <w:next w:val="ab"/>
    <w:uiPriority w:val="59"/>
    <w:rsid w:val="00F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b"/>
    <w:uiPriority w:val="59"/>
    <w:rsid w:val="007C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59"/>
    <w:rsid w:val="00E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59"/>
    <w:rsid w:val="0011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smap.org/node/555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ata.worldbank.org/data-catalog/sustainable-energy-for-al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ckingenergy4all.worldbank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ps.who.int/gho/indicatorregistry/App_Main/view_indicator.aspx?iid=318" TargetMode="External"/><Relationship Id="rId10" Type="http://schemas.openxmlformats.org/officeDocument/2006/relationships/hyperlink" Target="http://trackingenergy4all.worldbank.or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who.int/data/gho/data/themes/air-pollution/household-air-pollution" TargetMode="External"/><Relationship Id="rId14" Type="http://schemas.openxmlformats.org/officeDocument/2006/relationships/hyperlink" Target="https://www.who.int/publications/i/item/9789241548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DD9E-9C17-42B0-B049-7D177F33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85</cp:revision>
  <dcterms:created xsi:type="dcterms:W3CDTF">2021-08-16T08:37:00Z</dcterms:created>
  <dcterms:modified xsi:type="dcterms:W3CDTF">2023-08-24T11:01:00Z</dcterms:modified>
</cp:coreProperties>
</file>