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D1054" w14:textId="77777777" w:rsidR="003143BC" w:rsidRPr="00BD29EC" w:rsidRDefault="003143BC" w:rsidP="0078726E">
      <w:pPr>
        <w:pBdr>
          <w:top w:val="nil"/>
          <w:left w:val="nil"/>
          <w:bottom w:val="nil"/>
          <w:right w:val="nil"/>
          <w:between w:val="nil"/>
          <w:bar w:val="nil"/>
        </w:pBdr>
        <w:spacing w:after="0"/>
        <w:rPr>
          <w:rFonts w:eastAsia="Arial Unicode MS" w:cs="Times New Roman"/>
          <w:b/>
          <w:szCs w:val="24"/>
          <w:bdr w:val="nil"/>
          <w:lang w:eastAsia="ru-RU"/>
        </w:rPr>
      </w:pPr>
    </w:p>
    <w:p w14:paraId="03A83AF7" w14:textId="77777777"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Метаданные показателя ЦУР</w:t>
      </w:r>
    </w:p>
    <w:p w14:paraId="67EABE0A" w14:textId="77777777"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(Гармонизированный шаблон метаданных - версия формата 1.0)</w:t>
      </w:r>
    </w:p>
    <w:p w14:paraId="33897B32" w14:textId="77777777" w:rsidR="003143BC" w:rsidRPr="00A343D5" w:rsidRDefault="003143BC" w:rsidP="00A343D5">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A343D5">
        <w:rPr>
          <w:rFonts w:eastAsia="Arial Unicode MS" w:cs="Times New Roman"/>
          <w:b/>
          <w:szCs w:val="24"/>
          <w:bdr w:val="nil"/>
          <w:lang w:eastAsia="ru-RU"/>
        </w:rPr>
        <w:t xml:space="preserve">Информация о показателе </w:t>
      </w:r>
    </w:p>
    <w:p w14:paraId="3C4806C7"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a</w:t>
      </w:r>
      <w:r w:rsidRPr="00A343D5">
        <w:rPr>
          <w:rFonts w:eastAsia="Arial Unicode MS" w:cs="Times New Roman"/>
          <w:b/>
          <w:szCs w:val="24"/>
          <w:bdr w:val="nil"/>
          <w:lang w:eastAsia="ru-RU"/>
        </w:rPr>
        <w:t>. Цель</w:t>
      </w:r>
    </w:p>
    <w:p w14:paraId="3238E36D" w14:textId="77777777" w:rsidR="00780F08" w:rsidRPr="00A343D5" w:rsidRDefault="00780F08" w:rsidP="00A343D5">
      <w:pPr>
        <w:pBdr>
          <w:top w:val="nil"/>
          <w:left w:val="nil"/>
          <w:bottom w:val="nil"/>
          <w:right w:val="nil"/>
          <w:between w:val="nil"/>
          <w:bar w:val="nil"/>
        </w:pBdr>
        <w:spacing w:after="0"/>
        <w:rPr>
          <w:rFonts w:eastAsia="Arial Unicode MS" w:cs="Times New Roman"/>
          <w:szCs w:val="24"/>
          <w:bdr w:val="nil"/>
          <w:lang w:eastAsia="ru-RU"/>
        </w:rPr>
      </w:pPr>
      <w:r w:rsidRPr="00A343D5">
        <w:rPr>
          <w:rFonts w:eastAsia="Arial Unicode MS" w:cs="Times New Roman"/>
          <w:szCs w:val="24"/>
          <w:bdr w:val="nil"/>
          <w:lang w:eastAsia="ru-RU"/>
        </w:rPr>
        <w:t xml:space="preserve">Цель </w:t>
      </w:r>
      <w:r w:rsidR="009B6CB3" w:rsidRPr="00A343D5">
        <w:rPr>
          <w:rFonts w:eastAsia="Arial Unicode MS" w:cs="Times New Roman"/>
          <w:szCs w:val="24"/>
          <w:bdr w:val="nil"/>
          <w:lang w:eastAsia="ru-RU"/>
        </w:rPr>
        <w:t>2</w:t>
      </w:r>
      <w:r w:rsidRPr="00A343D5">
        <w:rPr>
          <w:rFonts w:eastAsia="Arial Unicode MS" w:cs="Times New Roman"/>
          <w:szCs w:val="24"/>
          <w:bdr w:val="nil"/>
          <w:lang w:eastAsia="ru-RU"/>
        </w:rPr>
        <w:t xml:space="preserve">: </w:t>
      </w:r>
      <w:r w:rsidR="009B6CB3" w:rsidRPr="00A343D5">
        <w:rPr>
          <w:rFonts w:eastAsia="Arial Unicode MS" w:cs="Times New Roman"/>
          <w:szCs w:val="24"/>
          <w:bdr w:val="nil"/>
          <w:lang w:eastAsia="ru-RU"/>
        </w:rPr>
        <w:t>Ликвидация голода, обеспечение продовольственной безопасности и улучшение питания и содействие устойчивому развитию сельского хозяйства</w:t>
      </w:r>
    </w:p>
    <w:p w14:paraId="4B798BFD"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b</w:t>
      </w:r>
      <w:r w:rsidRPr="00A343D5">
        <w:rPr>
          <w:rFonts w:eastAsia="Arial Unicode MS" w:cs="Times New Roman"/>
          <w:b/>
          <w:szCs w:val="24"/>
          <w:bdr w:val="nil"/>
          <w:lang w:eastAsia="ru-RU"/>
        </w:rPr>
        <w:t>. Задача</w:t>
      </w:r>
    </w:p>
    <w:p w14:paraId="10FC3604" w14:textId="77777777" w:rsidR="002F63E5" w:rsidRPr="00A343D5" w:rsidRDefault="009B6CB3" w:rsidP="00A343D5">
      <w:pPr>
        <w:pBdr>
          <w:top w:val="nil"/>
          <w:left w:val="nil"/>
          <w:bottom w:val="nil"/>
          <w:right w:val="nil"/>
          <w:between w:val="nil"/>
          <w:bar w:val="nil"/>
        </w:pBdr>
        <w:spacing w:after="0"/>
        <w:rPr>
          <w:rFonts w:cs="Times New Roman"/>
          <w:szCs w:val="24"/>
        </w:rPr>
      </w:pPr>
      <w:r w:rsidRPr="00A343D5">
        <w:rPr>
          <w:rFonts w:cs="Times New Roman"/>
          <w:szCs w:val="24"/>
        </w:rPr>
        <w:t>2</w:t>
      </w:r>
      <w:r w:rsidR="00780F08" w:rsidRPr="00A343D5">
        <w:rPr>
          <w:rFonts w:cs="Times New Roman"/>
          <w:szCs w:val="24"/>
        </w:rPr>
        <w:t>.</w:t>
      </w:r>
      <w:r w:rsidR="0078726E" w:rsidRPr="00A343D5">
        <w:rPr>
          <w:rFonts w:cs="Times New Roman"/>
          <w:szCs w:val="24"/>
        </w:rPr>
        <w:t>с</w:t>
      </w:r>
      <w:r w:rsidR="00780F08" w:rsidRPr="00A343D5">
        <w:rPr>
          <w:rFonts w:cs="Times New Roman"/>
          <w:szCs w:val="24"/>
        </w:rPr>
        <w:t xml:space="preserve">.  </w:t>
      </w:r>
      <w:r w:rsidR="0078726E" w:rsidRPr="00A343D5">
        <w:rPr>
          <w:rFonts w:cs="Times New Roman"/>
          <w:szCs w:val="24"/>
        </w:rPr>
        <w:t>Принять меры для обеспечения надлежащего функционирования рынков продовольственных товаров и продукции их переработки и содействовать своевременному доступу к рыночной информации, в том числе о продовольственных резервах, с целью помочь ограничить чрезмерную волатильность цен на продовольствие.</w:t>
      </w:r>
    </w:p>
    <w:p w14:paraId="36B0E768"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0.с. Показатель</w:t>
      </w:r>
    </w:p>
    <w:p w14:paraId="3BAA6436" w14:textId="77777777" w:rsidR="009B6CB3" w:rsidRPr="00A343D5" w:rsidRDefault="003143BC" w:rsidP="00A343D5">
      <w:pPr>
        <w:pBdr>
          <w:top w:val="nil"/>
          <w:left w:val="nil"/>
          <w:bottom w:val="nil"/>
          <w:right w:val="nil"/>
          <w:between w:val="nil"/>
          <w:bar w:val="nil"/>
        </w:pBdr>
        <w:spacing w:after="0"/>
        <w:rPr>
          <w:rFonts w:cs="Times New Roman"/>
          <w:szCs w:val="24"/>
        </w:rPr>
      </w:pPr>
      <w:r w:rsidRPr="00A343D5">
        <w:rPr>
          <w:rFonts w:cs="Times New Roman"/>
          <w:szCs w:val="24"/>
        </w:rPr>
        <w:t xml:space="preserve">Показатель </w:t>
      </w:r>
      <w:r w:rsidR="009B6CB3" w:rsidRPr="00A343D5">
        <w:rPr>
          <w:rFonts w:cs="Times New Roman"/>
          <w:szCs w:val="24"/>
        </w:rPr>
        <w:t>2</w:t>
      </w:r>
      <w:r w:rsidR="00780F08" w:rsidRPr="00A343D5">
        <w:rPr>
          <w:rFonts w:cs="Times New Roman"/>
          <w:szCs w:val="24"/>
        </w:rPr>
        <w:t>.</w:t>
      </w:r>
      <w:r w:rsidR="0078726E" w:rsidRPr="00A343D5">
        <w:rPr>
          <w:rFonts w:cs="Times New Roman"/>
          <w:szCs w:val="24"/>
        </w:rPr>
        <w:t>с</w:t>
      </w:r>
      <w:r w:rsidR="00780F08" w:rsidRPr="00A343D5">
        <w:rPr>
          <w:rFonts w:cs="Times New Roman"/>
          <w:szCs w:val="24"/>
        </w:rPr>
        <w:t xml:space="preserve">.1 </w:t>
      </w:r>
      <w:r w:rsidR="0078726E" w:rsidRPr="00A343D5">
        <w:rPr>
          <w:rFonts w:cs="Times New Roman"/>
          <w:szCs w:val="24"/>
        </w:rPr>
        <w:t>Показатель ценовых аномалий на рынке продовольствия</w:t>
      </w:r>
    </w:p>
    <w:p w14:paraId="12D346E2" w14:textId="77777777" w:rsidR="003143BC" w:rsidRPr="00A343D5" w:rsidRDefault="003143BC" w:rsidP="00A343D5">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d</w:t>
      </w:r>
      <w:r w:rsidRPr="00A343D5">
        <w:rPr>
          <w:rFonts w:eastAsia="Arial Unicode MS" w:cs="Times New Roman"/>
          <w:b/>
          <w:szCs w:val="24"/>
          <w:bdr w:val="nil"/>
          <w:lang w:eastAsia="ru-RU"/>
        </w:rPr>
        <w:t xml:space="preserve">. </w:t>
      </w:r>
      <w:r w:rsidR="00A41B68" w:rsidRPr="00A343D5">
        <w:rPr>
          <w:rFonts w:eastAsia="Arial Unicode MS" w:cs="Times New Roman"/>
          <w:b/>
          <w:szCs w:val="24"/>
          <w:bdr w:val="nil"/>
          <w:lang w:eastAsia="ru-RU"/>
        </w:rPr>
        <w:t>Ряд</w:t>
      </w:r>
      <w:r w:rsidR="00704A8D" w:rsidRPr="00A343D5">
        <w:rPr>
          <w:rFonts w:eastAsia="Arial Unicode MS" w:cs="Times New Roman"/>
          <w:b/>
          <w:szCs w:val="24"/>
          <w:bdr w:val="nil"/>
          <w:lang w:eastAsia="ru-RU"/>
        </w:rPr>
        <w:t xml:space="preserve"> данных</w:t>
      </w:r>
    </w:p>
    <w:p w14:paraId="4E5308B8" w14:textId="77777777" w:rsidR="00C8596F" w:rsidRPr="00A343D5"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e</w:t>
      </w:r>
      <w:r w:rsidRPr="00A343D5">
        <w:rPr>
          <w:rFonts w:eastAsia="Arial Unicode MS" w:cs="Times New Roman"/>
          <w:b/>
          <w:szCs w:val="24"/>
          <w:bdr w:val="nil"/>
          <w:lang w:eastAsia="ru-RU"/>
        </w:rPr>
        <w:t xml:space="preserve">. Обновление данных </w:t>
      </w:r>
    </w:p>
    <w:p w14:paraId="628252A8" w14:textId="5EFC4A5F" w:rsidR="00C8596F" w:rsidRPr="00A343D5" w:rsidRDefault="006820AC"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8B703F">
        <w:rPr>
          <w:rFonts w:eastAsia="Arial Unicode MS" w:cs="Times New Roman"/>
          <w:szCs w:val="24"/>
          <w:bdr w:val="nil"/>
          <w:lang w:eastAsia="ru-RU"/>
        </w:rPr>
        <w:t xml:space="preserve">15 </w:t>
      </w:r>
      <w:r>
        <w:rPr>
          <w:rFonts w:eastAsia="Arial Unicode MS" w:cs="Times New Roman"/>
          <w:szCs w:val="24"/>
          <w:bdr w:val="nil"/>
          <w:lang w:eastAsia="ru-RU"/>
        </w:rPr>
        <w:t>Мая</w:t>
      </w:r>
      <w:r w:rsidR="00C8596F" w:rsidRPr="00A343D5">
        <w:rPr>
          <w:rFonts w:eastAsia="Arial Unicode MS" w:cs="Times New Roman"/>
          <w:szCs w:val="24"/>
          <w:bdr w:val="nil"/>
          <w:lang w:eastAsia="ru-RU"/>
        </w:rPr>
        <w:t xml:space="preserve"> 202</w:t>
      </w:r>
      <w:r w:rsidR="00CE29A2">
        <w:rPr>
          <w:rFonts w:eastAsia="Arial Unicode MS" w:cs="Times New Roman"/>
          <w:szCs w:val="24"/>
          <w:bdr w:val="nil"/>
          <w:lang w:eastAsia="ru-RU"/>
        </w:rPr>
        <w:t>3</w:t>
      </w:r>
    </w:p>
    <w:p w14:paraId="3CA9F2BD" w14:textId="77777777" w:rsidR="00C8596F" w:rsidRPr="00A343D5"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f</w:t>
      </w:r>
      <w:r w:rsidRPr="00A343D5">
        <w:rPr>
          <w:rFonts w:eastAsia="Arial Unicode MS" w:cs="Times New Roman"/>
          <w:b/>
          <w:szCs w:val="24"/>
          <w:bdr w:val="nil"/>
          <w:lang w:eastAsia="ru-RU"/>
        </w:rPr>
        <w:t xml:space="preserve">. Связанные показатели </w:t>
      </w:r>
    </w:p>
    <w:p w14:paraId="5ED2123A" w14:textId="77777777" w:rsidR="00397764" w:rsidRPr="00A343D5" w:rsidRDefault="0078726E"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A343D5">
        <w:rPr>
          <w:rFonts w:eastAsia="Arial Unicode MS" w:cs="Times New Roman"/>
          <w:szCs w:val="24"/>
          <w:bdr w:val="nil"/>
          <w:lang w:eastAsia="ru-RU"/>
        </w:rPr>
        <w:t xml:space="preserve">Не применимо. </w:t>
      </w:r>
    </w:p>
    <w:p w14:paraId="3C12258B" w14:textId="77777777" w:rsidR="00A91FDE" w:rsidRPr="00A343D5" w:rsidRDefault="00E33CA8"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g</w:t>
      </w:r>
      <w:r w:rsidRPr="00A343D5">
        <w:rPr>
          <w:rFonts w:eastAsia="Arial Unicode MS" w:cs="Times New Roman"/>
          <w:b/>
          <w:szCs w:val="24"/>
          <w:bdr w:val="nil"/>
          <w:lang w:eastAsia="ru-RU"/>
        </w:rPr>
        <w:t>. Международные организации, ответственные за глобальный мониторинг</w:t>
      </w:r>
    </w:p>
    <w:p w14:paraId="1F37239C" w14:textId="77777777" w:rsidR="00957A62" w:rsidRPr="00A343D5" w:rsidRDefault="00A41B68" w:rsidP="00A343D5">
      <w:pPr>
        <w:pBdr>
          <w:top w:val="nil"/>
          <w:left w:val="nil"/>
          <w:bottom w:val="nil"/>
          <w:right w:val="nil"/>
          <w:between w:val="nil"/>
          <w:bar w:val="nil"/>
        </w:pBdr>
        <w:spacing w:after="0"/>
        <w:rPr>
          <w:rFonts w:cs="Times New Roman"/>
          <w:szCs w:val="24"/>
        </w:rPr>
      </w:pPr>
      <w:r w:rsidRPr="00A343D5">
        <w:rPr>
          <w:rFonts w:cs="Times New Roman"/>
          <w:szCs w:val="24"/>
        </w:rPr>
        <w:t>Продовольственная и сельскохозяйственная организация Объединенных Наций (ФАО)</w:t>
      </w:r>
    </w:p>
    <w:p w14:paraId="215DD08B" w14:textId="77777777" w:rsidR="00A41B68" w:rsidRPr="00A343D5" w:rsidRDefault="00A41B68" w:rsidP="00A343D5">
      <w:pPr>
        <w:pBdr>
          <w:top w:val="nil"/>
          <w:left w:val="nil"/>
          <w:bottom w:val="nil"/>
          <w:right w:val="nil"/>
          <w:between w:val="nil"/>
          <w:bar w:val="nil"/>
        </w:pBdr>
        <w:spacing w:after="0"/>
        <w:rPr>
          <w:rFonts w:cs="Times New Roman"/>
          <w:szCs w:val="24"/>
        </w:rPr>
      </w:pPr>
    </w:p>
    <w:p w14:paraId="2716392B" w14:textId="77777777" w:rsidR="00957A62" w:rsidRPr="00A343D5" w:rsidRDefault="00957A62" w:rsidP="00A343D5">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A343D5">
        <w:rPr>
          <w:b/>
          <w:color w:val="auto"/>
          <w:sz w:val="24"/>
          <w:szCs w:val="24"/>
          <w:lang w:val="ru-RU"/>
        </w:rPr>
        <w:t xml:space="preserve">1. </w:t>
      </w:r>
      <w:bookmarkEnd w:id="0"/>
      <w:bookmarkEnd w:id="1"/>
      <w:bookmarkEnd w:id="2"/>
      <w:bookmarkEnd w:id="3"/>
      <w:bookmarkEnd w:id="4"/>
      <w:r w:rsidR="00853C09" w:rsidRPr="00A343D5">
        <w:rPr>
          <w:b/>
          <w:color w:val="auto"/>
          <w:sz w:val="24"/>
          <w:szCs w:val="24"/>
          <w:lang w:val="ru-RU"/>
        </w:rPr>
        <w:t xml:space="preserve">Данные представлены </w:t>
      </w:r>
    </w:p>
    <w:p w14:paraId="1A9BE3D7" w14:textId="77777777" w:rsidR="00957A62" w:rsidRPr="00A343D5" w:rsidRDefault="00957A62" w:rsidP="00A343D5">
      <w:pPr>
        <w:pStyle w:val="MHeader2"/>
        <w:spacing w:line="276" w:lineRule="auto"/>
        <w:rPr>
          <w:color w:val="auto"/>
          <w:sz w:val="24"/>
          <w:szCs w:val="24"/>
          <w:lang w:val="ru-RU"/>
        </w:rPr>
      </w:pPr>
      <w:r w:rsidRPr="00A343D5">
        <w:rPr>
          <w:color w:val="auto"/>
          <w:sz w:val="24"/>
          <w:szCs w:val="24"/>
          <w:lang w:val="ru-RU"/>
        </w:rPr>
        <w:t>1.</w:t>
      </w:r>
      <w:r w:rsidRPr="00A343D5">
        <w:rPr>
          <w:color w:val="auto"/>
          <w:sz w:val="24"/>
          <w:szCs w:val="24"/>
        </w:rPr>
        <w:t>a</w:t>
      </w:r>
      <w:r w:rsidRPr="00A343D5">
        <w:rPr>
          <w:color w:val="auto"/>
          <w:sz w:val="24"/>
          <w:szCs w:val="24"/>
          <w:lang w:val="ru-RU"/>
        </w:rPr>
        <w:t>. Организация</w:t>
      </w:r>
    </w:p>
    <w:p w14:paraId="698071F0" w14:textId="77777777" w:rsidR="00957A62" w:rsidRPr="00A343D5" w:rsidRDefault="00A41B68" w:rsidP="00A343D5">
      <w:pPr>
        <w:pStyle w:val="MText"/>
        <w:rPr>
          <w:color w:val="auto"/>
          <w:sz w:val="24"/>
          <w:szCs w:val="24"/>
          <w:lang w:val="ru-RU"/>
        </w:rPr>
      </w:pPr>
      <w:r w:rsidRPr="00A343D5">
        <w:rPr>
          <w:color w:val="auto"/>
          <w:sz w:val="24"/>
          <w:szCs w:val="24"/>
          <w:lang w:val="ru-RU"/>
        </w:rPr>
        <w:t>Продовольственная и сельскохозяйственная организация Объединенных Наций (ФАО)</w:t>
      </w:r>
    </w:p>
    <w:p w14:paraId="7FA00549" w14:textId="77777777" w:rsidR="00A41B68" w:rsidRPr="00A343D5" w:rsidRDefault="00A41B68" w:rsidP="00A343D5">
      <w:pPr>
        <w:pStyle w:val="MText"/>
        <w:rPr>
          <w:color w:val="auto"/>
          <w:sz w:val="24"/>
          <w:szCs w:val="24"/>
          <w:lang w:val="ru-RU"/>
        </w:rPr>
      </w:pPr>
    </w:p>
    <w:p w14:paraId="38F7C073" w14:textId="77777777" w:rsidR="00957A62" w:rsidRPr="00A343D5" w:rsidRDefault="00957A62" w:rsidP="00A343D5">
      <w:pPr>
        <w:pStyle w:val="MHeader"/>
        <w:rPr>
          <w:b/>
          <w:color w:val="auto"/>
          <w:sz w:val="24"/>
          <w:szCs w:val="24"/>
          <w:lang w:val="ru-RU"/>
        </w:rPr>
      </w:pPr>
      <w:r w:rsidRPr="00A343D5">
        <w:rPr>
          <w:b/>
          <w:color w:val="auto"/>
          <w:sz w:val="24"/>
          <w:szCs w:val="24"/>
          <w:lang w:val="ru-RU"/>
        </w:rPr>
        <w:t xml:space="preserve">2. Определения, </w:t>
      </w:r>
      <w:r w:rsidR="00A41B68" w:rsidRPr="00A343D5">
        <w:rPr>
          <w:b/>
          <w:color w:val="auto"/>
          <w:sz w:val="24"/>
          <w:szCs w:val="24"/>
          <w:lang w:val="ru-RU"/>
        </w:rPr>
        <w:t>понятия</w:t>
      </w:r>
      <w:r w:rsidRPr="00A343D5">
        <w:rPr>
          <w:b/>
          <w:color w:val="auto"/>
          <w:sz w:val="24"/>
          <w:szCs w:val="24"/>
          <w:lang w:val="ru-RU"/>
        </w:rPr>
        <w:t xml:space="preserve"> и классификации</w:t>
      </w:r>
    </w:p>
    <w:p w14:paraId="139ECA3B" w14:textId="77777777" w:rsidR="00A41B68" w:rsidRPr="00A343D5" w:rsidRDefault="00957A62" w:rsidP="00A343D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a</w:t>
      </w:r>
      <w:r w:rsidRPr="00A343D5">
        <w:rPr>
          <w:color w:val="auto"/>
          <w:sz w:val="24"/>
          <w:szCs w:val="24"/>
          <w:lang w:val="ru-RU"/>
        </w:rPr>
        <w:t xml:space="preserve">. Определения и </w:t>
      </w:r>
      <w:r w:rsidR="00A41B68" w:rsidRPr="00A343D5">
        <w:rPr>
          <w:color w:val="auto"/>
          <w:sz w:val="24"/>
          <w:szCs w:val="24"/>
          <w:lang w:val="ru-RU"/>
        </w:rPr>
        <w:t>понятия</w:t>
      </w:r>
    </w:p>
    <w:p w14:paraId="4DC0F3BA" w14:textId="77777777" w:rsidR="00A41B68" w:rsidRPr="00A343D5" w:rsidRDefault="00A41B68" w:rsidP="00A343D5">
      <w:pPr>
        <w:rPr>
          <w:rFonts w:cs="Times New Roman"/>
          <w:b/>
        </w:rPr>
      </w:pPr>
      <w:r w:rsidRPr="00A343D5">
        <w:rPr>
          <w:rFonts w:cs="Times New Roman"/>
          <w:b/>
        </w:rPr>
        <w:t>Определения:</w:t>
      </w:r>
    </w:p>
    <w:p w14:paraId="7E530C8B" w14:textId="513C0687" w:rsidR="0078726E" w:rsidRPr="00A343D5" w:rsidRDefault="0078726E" w:rsidP="00A343D5">
      <w:pPr>
        <w:rPr>
          <w:rFonts w:cs="Times New Roman"/>
          <w:szCs w:val="24"/>
        </w:rPr>
      </w:pPr>
      <w:r w:rsidRPr="00A343D5">
        <w:rPr>
          <w:rFonts w:cs="Times New Roman"/>
          <w:szCs w:val="24"/>
        </w:rPr>
        <w:t>Показатель аномалий цен на продовольствие (</w:t>
      </w:r>
      <w:r w:rsidRPr="00A343D5">
        <w:rPr>
          <w:rFonts w:cs="Times New Roman"/>
          <w:szCs w:val="24"/>
          <w:lang w:val="en-US"/>
        </w:rPr>
        <w:t>IFPA</w:t>
      </w:r>
      <w:r w:rsidRPr="00A343D5">
        <w:rPr>
          <w:rFonts w:cs="Times New Roman"/>
          <w:szCs w:val="24"/>
        </w:rPr>
        <w:t>) определяет аномально высокие цены, которые устанавливаются для серии цен на продовольственные товары за определенный период времени.</w:t>
      </w:r>
      <w:r w:rsidR="00CE29A2" w:rsidRPr="00CE29A2">
        <w:rPr>
          <w:rFonts w:cs="Times New Roman"/>
          <w:szCs w:val="24"/>
        </w:rPr>
        <w:t xml:space="preserve"> </w:t>
      </w:r>
      <w:r w:rsidR="00CE29A2" w:rsidRPr="00A343D5">
        <w:rPr>
          <w:rFonts w:cs="Times New Roman"/>
          <w:szCs w:val="24"/>
        </w:rPr>
        <w:t>Показатель аномалий цен на продовольствие</w:t>
      </w:r>
      <w:r w:rsidRPr="00A343D5">
        <w:rPr>
          <w:rFonts w:cs="Times New Roman"/>
          <w:szCs w:val="24"/>
        </w:rPr>
        <w:t xml:space="preserve"> </w:t>
      </w:r>
      <w:r w:rsidR="00CE29A2">
        <w:rPr>
          <w:rFonts w:cs="Times New Roman"/>
          <w:szCs w:val="24"/>
        </w:rPr>
        <w:t>(</w:t>
      </w:r>
      <w:r w:rsidR="00CE29A2" w:rsidRPr="00CE29A2">
        <w:rPr>
          <w:rFonts w:cs="Times New Roman"/>
          <w:szCs w:val="24"/>
        </w:rPr>
        <w:t>IFPA</w:t>
      </w:r>
      <w:r w:rsidR="00CE29A2">
        <w:rPr>
          <w:rFonts w:cs="Times New Roman"/>
          <w:szCs w:val="24"/>
        </w:rPr>
        <w:t xml:space="preserve">) </w:t>
      </w:r>
      <w:r w:rsidR="00CE29A2" w:rsidRPr="00CE29A2">
        <w:rPr>
          <w:rFonts w:cs="Times New Roman"/>
          <w:szCs w:val="24"/>
        </w:rPr>
        <w:t>полагается на взвешенный совокупный темп роста, который учитывает как внутригодовой, так и межгодовой рост цен. Показатель непосредственно оценивает рост цен за определенный месяц на протяжении многих лет, принимая во внимание сезонность на сельскохозяйственных рынках и инфляцию, позволяя ответить на вопрос о том, является ли изменение цен ненормальным для какого-либо конкретного периода.</w:t>
      </w:r>
    </w:p>
    <w:p w14:paraId="531538DD" w14:textId="77777777" w:rsidR="00397764" w:rsidRPr="00A343D5" w:rsidRDefault="0078726E" w:rsidP="00A343D5">
      <w:pPr>
        <w:shd w:val="clear" w:color="auto" w:fill="FFFFFF"/>
        <w:spacing w:after="0"/>
        <w:rPr>
          <w:rFonts w:eastAsia="Times New Roman" w:cs="Times New Roman"/>
          <w:b/>
          <w:bCs/>
          <w:szCs w:val="21"/>
          <w:lang w:eastAsia="en-GB"/>
        </w:rPr>
      </w:pPr>
      <w:r w:rsidRPr="00A343D5">
        <w:rPr>
          <w:rFonts w:eastAsia="Times New Roman" w:cs="Times New Roman"/>
          <w:b/>
          <w:bCs/>
          <w:szCs w:val="21"/>
          <w:lang w:eastAsia="en-GB"/>
        </w:rPr>
        <w:t>Понятия</w:t>
      </w:r>
    </w:p>
    <w:p w14:paraId="7033669A" w14:textId="77777777" w:rsidR="0078726E" w:rsidRPr="00A343D5" w:rsidRDefault="0078726E" w:rsidP="00A343D5">
      <w:pPr>
        <w:rPr>
          <w:rFonts w:cs="Times New Roman"/>
          <w:szCs w:val="24"/>
        </w:rPr>
      </w:pPr>
      <w:r w:rsidRPr="00A343D5">
        <w:rPr>
          <w:rFonts w:cs="Times New Roman"/>
          <w:szCs w:val="24"/>
        </w:rPr>
        <w:t>Основой для показателя аномалий цен на продовольствие является взвешенная сумма двух совокупных темпов роста (</w:t>
      </w:r>
      <w:r w:rsidRPr="00A343D5">
        <w:rPr>
          <w:rFonts w:cs="Times New Roman"/>
          <w:szCs w:val="24"/>
          <w:lang w:val="en-US"/>
        </w:rPr>
        <w:t>CGR</w:t>
      </w:r>
      <w:r w:rsidRPr="00A343D5">
        <w:rPr>
          <w:rFonts w:cs="Times New Roman"/>
          <w:szCs w:val="24"/>
        </w:rPr>
        <w:t>). Использование двух совокупных темпов роста, квартального и годового, нацелено на учет потенциальных сезонных колебаний цен на продовольствие.</w:t>
      </w:r>
    </w:p>
    <w:p w14:paraId="7EF4067F" w14:textId="77777777" w:rsidR="0078726E" w:rsidRPr="00A343D5" w:rsidRDefault="0078726E" w:rsidP="00A343D5">
      <w:pPr>
        <w:rPr>
          <w:rFonts w:cs="Times New Roman"/>
          <w:szCs w:val="24"/>
        </w:rPr>
      </w:pPr>
      <w:r w:rsidRPr="00A343D5">
        <w:rPr>
          <w:rFonts w:cs="Times New Roman"/>
          <w:szCs w:val="24"/>
        </w:rPr>
        <w:lastRenderedPageBreak/>
        <w:t>Совокупный темп роста представляет собой геометрическое понятие, которое предполагает, что случайная величина растет с постоянной скоростью в течение определенного периода времени. Поскольку это предполагает устойчивый темп роста, Совокупный темп роста смягчает эффект волатильности периодических колебаний цен. Совокупный темп роста – это рост любой случайной величины от периода времени t-0 до t-n, принимаемый за значение рассматриваемого периода времени</w:t>
      </w:r>
    </w:p>
    <w:p w14:paraId="4C6E33D1" w14:textId="1B9F6D2D" w:rsidR="009C1824" w:rsidRPr="009C1824" w:rsidRDefault="0081039C" w:rsidP="009C1824">
      <w:pPr>
        <w:jc w:val="center"/>
        <w:rPr>
          <w:rFonts w:eastAsiaTheme="minorEastAsia" w:cs="Times New Roman"/>
          <w:color w:val="262626" w:themeColor="text1" w:themeTint="D9"/>
          <w:sz w:val="21"/>
          <w:szCs w:val="21"/>
        </w:rPr>
      </w:pPr>
      <m:oMathPara>
        <m:oMath>
          <m:sSub>
            <m:sSubPr>
              <m:ctrlPr>
                <w:rPr>
                  <w:rFonts w:ascii="Cambria Math" w:hAnsi="Cambria Math" w:cs="Times New Roman"/>
                  <w:i/>
                  <w:iCs/>
                  <w:color w:val="262626" w:themeColor="text1" w:themeTint="D9"/>
                  <w:sz w:val="21"/>
                  <w:szCs w:val="21"/>
                </w:rPr>
              </m:ctrlPr>
            </m:sSubPr>
            <m:e>
              <m:r>
                <w:rPr>
                  <w:rFonts w:ascii="Cambria Math" w:hAnsi="Cambria Math" w:cs="Times New Roman"/>
                  <w:color w:val="262626" w:themeColor="text1" w:themeTint="D9"/>
                  <w:sz w:val="21"/>
                  <w:szCs w:val="21"/>
                  <w:lang w:val="en-US"/>
                </w:rPr>
                <m:t>CXGR</m:t>
              </m:r>
            </m:e>
            <m:sub>
              <m:r>
                <w:rPr>
                  <w:rFonts w:ascii="Cambria Math" w:hAnsi="Cambria Math" w:cs="Times New Roman"/>
                  <w:color w:val="262626" w:themeColor="text1" w:themeTint="D9"/>
                  <w:sz w:val="21"/>
                  <w:szCs w:val="21"/>
                  <w:lang w:val="en-US"/>
                </w:rPr>
                <m:t>t</m:t>
              </m:r>
            </m:sub>
          </m:sSub>
          <m:r>
            <w:rPr>
              <w:rFonts w:ascii="Cambria Math" w:hAnsi="Cambria Math" w:cs="Times New Roman"/>
              <w:color w:val="262626" w:themeColor="text1" w:themeTint="D9"/>
              <w:sz w:val="21"/>
              <w:szCs w:val="21"/>
            </w:rPr>
            <m:t>=</m:t>
          </m:r>
          <m:sSup>
            <m:sSupPr>
              <m:ctrlPr>
                <w:rPr>
                  <w:rFonts w:ascii="Cambria Math" w:hAnsi="Cambria Math" w:cs="Times New Roman"/>
                  <w:i/>
                  <w:iCs/>
                  <w:color w:val="262626" w:themeColor="text1" w:themeTint="D9"/>
                  <w:sz w:val="21"/>
                  <w:szCs w:val="21"/>
                </w:rPr>
              </m:ctrlPr>
            </m:sSupPr>
            <m:e>
              <m:d>
                <m:dPr>
                  <m:ctrlPr>
                    <w:rPr>
                      <w:rFonts w:ascii="Cambria Math" w:hAnsi="Cambria Math" w:cs="Times New Roman"/>
                      <w:i/>
                      <w:iCs/>
                      <w:color w:val="262626" w:themeColor="text1" w:themeTint="D9"/>
                      <w:sz w:val="21"/>
                      <w:szCs w:val="21"/>
                    </w:rPr>
                  </m:ctrlPr>
                </m:dPr>
                <m:e>
                  <m:f>
                    <m:fPr>
                      <m:ctrlPr>
                        <w:rPr>
                          <w:rFonts w:ascii="Cambria Math" w:hAnsi="Cambria Math" w:cs="Times New Roman"/>
                          <w:i/>
                          <w:iCs/>
                          <w:color w:val="262626" w:themeColor="text1" w:themeTint="D9"/>
                          <w:sz w:val="21"/>
                          <w:szCs w:val="21"/>
                        </w:rPr>
                      </m:ctrlPr>
                    </m:fPr>
                    <m:num>
                      <m:sSub>
                        <m:sSubPr>
                          <m:ctrlPr>
                            <w:rPr>
                              <w:rFonts w:ascii="Cambria Math" w:hAnsi="Cambria Math" w:cs="Times New Roman"/>
                              <w:i/>
                              <w:iCs/>
                              <w:color w:val="262626" w:themeColor="text1" w:themeTint="D9"/>
                              <w:sz w:val="21"/>
                              <w:szCs w:val="21"/>
                            </w:rPr>
                          </m:ctrlPr>
                        </m:sSubPr>
                        <m:e>
                          <m:r>
                            <w:rPr>
                              <w:rFonts w:ascii="Cambria Math" w:hAnsi="Cambria Math" w:cs="Times New Roman"/>
                              <w:color w:val="262626" w:themeColor="text1" w:themeTint="D9"/>
                              <w:sz w:val="21"/>
                              <w:szCs w:val="21"/>
                              <w:lang w:val="en-US"/>
                            </w:rPr>
                            <m:t>P</m:t>
                          </m:r>
                        </m:e>
                        <m:sub>
                          <m:sSub>
                            <m:sSubPr>
                              <m:ctrlPr>
                                <w:rPr>
                                  <w:rFonts w:ascii="Cambria Math" w:hAnsi="Cambria Math" w:cs="Times New Roman"/>
                                  <w:i/>
                                  <w:iCs/>
                                  <w:color w:val="262626" w:themeColor="text1" w:themeTint="D9"/>
                                  <w:sz w:val="21"/>
                                  <w:szCs w:val="21"/>
                                </w:rPr>
                              </m:ctrlPr>
                            </m:sSubPr>
                            <m:e>
                              <m:r>
                                <w:rPr>
                                  <w:rFonts w:ascii="Cambria Math" w:hAnsi="Cambria Math" w:cs="Times New Roman"/>
                                  <w:color w:val="262626" w:themeColor="text1" w:themeTint="D9"/>
                                  <w:sz w:val="21"/>
                                  <w:szCs w:val="21"/>
                                  <w:lang w:val="en-US"/>
                                </w:rPr>
                                <m:t>t</m:t>
                              </m:r>
                            </m:e>
                            <m:sub>
                              <m:r>
                                <w:rPr>
                                  <w:rFonts w:ascii="Cambria Math" w:hAnsi="Cambria Math" w:cs="Times New Roman"/>
                                  <w:color w:val="262626" w:themeColor="text1" w:themeTint="D9"/>
                                  <w:sz w:val="21"/>
                                  <w:szCs w:val="21"/>
                                  <w:lang w:val="en-US"/>
                                </w:rPr>
                                <m:t>B</m:t>
                              </m:r>
                            </m:sub>
                          </m:sSub>
                        </m:sub>
                      </m:sSub>
                    </m:num>
                    <m:den>
                      <m:sSub>
                        <m:sSubPr>
                          <m:ctrlPr>
                            <w:rPr>
                              <w:rFonts w:ascii="Cambria Math" w:hAnsi="Cambria Math" w:cs="Times New Roman"/>
                              <w:i/>
                              <w:iCs/>
                              <w:color w:val="262626" w:themeColor="text1" w:themeTint="D9"/>
                              <w:sz w:val="21"/>
                              <w:szCs w:val="21"/>
                            </w:rPr>
                          </m:ctrlPr>
                        </m:sSubPr>
                        <m:e>
                          <m:r>
                            <w:rPr>
                              <w:rFonts w:ascii="Cambria Math" w:hAnsi="Cambria Math" w:cs="Times New Roman"/>
                              <w:color w:val="262626" w:themeColor="text1" w:themeTint="D9"/>
                              <w:sz w:val="21"/>
                              <w:szCs w:val="21"/>
                              <w:lang w:val="en-US"/>
                            </w:rPr>
                            <m:t>P</m:t>
                          </m:r>
                        </m:e>
                        <m:sub>
                          <m:sSub>
                            <m:sSubPr>
                              <m:ctrlPr>
                                <w:rPr>
                                  <w:rFonts w:ascii="Cambria Math" w:hAnsi="Cambria Math" w:cs="Times New Roman"/>
                                  <w:i/>
                                  <w:iCs/>
                                  <w:color w:val="262626" w:themeColor="text1" w:themeTint="D9"/>
                                  <w:sz w:val="21"/>
                                  <w:szCs w:val="21"/>
                                </w:rPr>
                              </m:ctrlPr>
                            </m:sSubPr>
                            <m:e>
                              <m:r>
                                <w:rPr>
                                  <w:rFonts w:ascii="Cambria Math" w:hAnsi="Cambria Math" w:cs="Times New Roman"/>
                                  <w:color w:val="262626" w:themeColor="text1" w:themeTint="D9"/>
                                  <w:sz w:val="21"/>
                                  <w:szCs w:val="21"/>
                                  <w:lang w:val="en-US"/>
                                </w:rPr>
                                <m:t>t</m:t>
                              </m:r>
                            </m:e>
                            <m:sub>
                              <m:r>
                                <w:rPr>
                                  <w:rFonts w:ascii="Cambria Math" w:hAnsi="Cambria Math" w:cs="Times New Roman"/>
                                  <w:color w:val="262626" w:themeColor="text1" w:themeTint="D9"/>
                                  <w:sz w:val="21"/>
                                  <w:szCs w:val="21"/>
                                  <w:lang w:val="en-US"/>
                                </w:rPr>
                                <m:t>A</m:t>
                              </m:r>
                            </m:sub>
                          </m:sSub>
                        </m:sub>
                      </m:sSub>
                    </m:den>
                  </m:f>
                </m:e>
              </m:d>
            </m:e>
            <m:sup>
              <m:f>
                <m:fPr>
                  <m:ctrlPr>
                    <w:rPr>
                      <w:rFonts w:ascii="Cambria Math" w:hAnsi="Cambria Math" w:cs="Times New Roman"/>
                      <w:i/>
                      <w:iCs/>
                      <w:color w:val="262626" w:themeColor="text1" w:themeTint="D9"/>
                      <w:sz w:val="21"/>
                      <w:szCs w:val="21"/>
                    </w:rPr>
                  </m:ctrlPr>
                </m:fPr>
                <m:num>
                  <m:r>
                    <w:rPr>
                      <w:rFonts w:ascii="Cambria Math" w:hAnsi="Cambria Math" w:cs="Times New Roman"/>
                      <w:color w:val="262626" w:themeColor="text1" w:themeTint="D9"/>
                      <w:sz w:val="21"/>
                      <w:szCs w:val="21"/>
                    </w:rPr>
                    <m:t>1</m:t>
                  </m:r>
                </m:num>
                <m:den>
                  <m:sSub>
                    <m:sSubPr>
                      <m:ctrlPr>
                        <w:rPr>
                          <w:rFonts w:ascii="Cambria Math" w:hAnsi="Cambria Math" w:cs="Times New Roman"/>
                          <w:i/>
                          <w:color w:val="262626" w:themeColor="text1" w:themeTint="D9"/>
                          <w:sz w:val="21"/>
                          <w:szCs w:val="21"/>
                        </w:rPr>
                      </m:ctrlPr>
                    </m:sSubPr>
                    <m:e>
                      <m:r>
                        <w:rPr>
                          <w:rFonts w:ascii="Cambria Math" w:hAnsi="Cambria Math" w:cs="Times New Roman"/>
                          <w:color w:val="262626" w:themeColor="text1" w:themeTint="D9"/>
                          <w:sz w:val="21"/>
                          <w:szCs w:val="21"/>
                          <w:lang w:val="en-US"/>
                        </w:rPr>
                        <m:t>t</m:t>
                      </m:r>
                    </m:e>
                    <m:sub>
                      <m:r>
                        <w:rPr>
                          <w:rFonts w:ascii="Cambria Math" w:hAnsi="Cambria Math" w:cs="Times New Roman"/>
                          <w:color w:val="262626" w:themeColor="text1" w:themeTint="D9"/>
                          <w:sz w:val="21"/>
                          <w:szCs w:val="21"/>
                          <w:lang w:val="en-US"/>
                        </w:rPr>
                        <m:t>B</m:t>
                      </m:r>
                    </m:sub>
                  </m:sSub>
                  <m:r>
                    <w:rPr>
                      <w:rFonts w:ascii="Cambria Math" w:hAnsi="Cambria Math" w:cs="Times New Roman"/>
                      <w:color w:val="262626" w:themeColor="text1" w:themeTint="D9"/>
                      <w:sz w:val="21"/>
                      <w:szCs w:val="21"/>
                    </w:rPr>
                    <m:t>-</m:t>
                  </m:r>
                  <m:sSub>
                    <m:sSubPr>
                      <m:ctrlPr>
                        <w:rPr>
                          <w:rFonts w:ascii="Cambria Math" w:hAnsi="Cambria Math" w:cs="Times New Roman"/>
                          <w:i/>
                          <w:color w:val="262626" w:themeColor="text1" w:themeTint="D9"/>
                          <w:sz w:val="21"/>
                          <w:szCs w:val="21"/>
                        </w:rPr>
                      </m:ctrlPr>
                    </m:sSubPr>
                    <m:e>
                      <m:r>
                        <w:rPr>
                          <w:rFonts w:ascii="Cambria Math" w:hAnsi="Cambria Math" w:cs="Times New Roman"/>
                          <w:color w:val="262626" w:themeColor="text1" w:themeTint="D9"/>
                          <w:sz w:val="21"/>
                          <w:szCs w:val="21"/>
                          <w:lang w:val="en-US"/>
                        </w:rPr>
                        <m:t>t</m:t>
                      </m:r>
                    </m:e>
                    <m:sub>
                      <m:r>
                        <w:rPr>
                          <w:rFonts w:ascii="Cambria Math" w:hAnsi="Cambria Math" w:cs="Times New Roman"/>
                          <w:color w:val="262626" w:themeColor="text1" w:themeTint="D9"/>
                          <w:sz w:val="21"/>
                          <w:szCs w:val="21"/>
                          <w:lang w:val="en-US"/>
                        </w:rPr>
                        <m:t>A</m:t>
                      </m:r>
                    </m:sub>
                  </m:sSub>
                </m:den>
              </m:f>
            </m:sup>
          </m:sSup>
          <m:r>
            <w:rPr>
              <w:rFonts w:ascii="Cambria Math" w:hAnsi="Cambria Math" w:cs="Times New Roman"/>
              <w:color w:val="262626" w:themeColor="text1" w:themeTint="D9"/>
              <w:sz w:val="21"/>
              <w:szCs w:val="21"/>
            </w:rPr>
            <m:t>-</m:t>
          </m:r>
          <m:r>
            <w:rPr>
              <w:rFonts w:ascii="Cambria Math" w:hAnsi="Cambria Math" w:cs="Times New Roman"/>
              <w:color w:val="262626" w:themeColor="text1" w:themeTint="D9"/>
              <w:sz w:val="21"/>
              <w:szCs w:val="21"/>
            </w:rPr>
            <m:t>1</m:t>
          </m:r>
        </m:oMath>
      </m:oMathPara>
    </w:p>
    <w:p w14:paraId="0D0976E9" w14:textId="33B66430" w:rsidR="009C1824" w:rsidRPr="009C1824" w:rsidRDefault="009C1824" w:rsidP="009C1824">
      <w:pPr>
        <w:jc w:val="center"/>
        <w:rPr>
          <w:rFonts w:eastAsiaTheme="minorEastAsia" w:cs="Times New Roman"/>
          <w:color w:val="262626" w:themeColor="text1" w:themeTint="D9"/>
          <w:sz w:val="21"/>
          <w:szCs w:val="21"/>
        </w:rPr>
      </w:pPr>
      <w:r>
        <w:rPr>
          <w:rFonts w:eastAsiaTheme="minorEastAsia" w:cs="Times New Roman"/>
          <w:color w:val="262626" w:themeColor="text1" w:themeTint="D9"/>
          <w:sz w:val="21"/>
          <w:szCs w:val="21"/>
        </w:rPr>
        <w:t>(1)</w:t>
      </w:r>
    </w:p>
    <w:p w14:paraId="059A88E0" w14:textId="77777777" w:rsidR="0078726E" w:rsidRPr="00A343D5" w:rsidRDefault="0078726E" w:rsidP="00A343D5">
      <w:pPr>
        <w:rPr>
          <w:rFonts w:cs="Times New Roman"/>
          <w:szCs w:val="24"/>
        </w:rPr>
      </w:pPr>
      <w:r w:rsidRPr="00A343D5">
        <w:rPr>
          <w:rFonts w:cs="Times New Roman"/>
          <w:szCs w:val="24"/>
        </w:rPr>
        <w:t>Где:</w:t>
      </w:r>
    </w:p>
    <w:p w14:paraId="1481AF40" w14:textId="77777777" w:rsidR="0078726E" w:rsidRPr="00A343D5" w:rsidRDefault="0081039C" w:rsidP="00A343D5">
      <w:pPr>
        <w:rPr>
          <w:rFonts w:cs="Times New Roman"/>
          <w:color w:val="262626" w:themeColor="text1" w:themeTint="D9"/>
          <w:szCs w:val="21"/>
        </w:rPr>
      </w:pPr>
      <m:oMath>
        <m:sSub>
          <m:sSubPr>
            <m:ctrlPr>
              <w:rPr>
                <w:rFonts w:ascii="Cambria Math" w:hAnsi="Cambria Math" w:cs="Times New Roman"/>
                <w:i/>
                <w:iCs/>
                <w:color w:val="262626" w:themeColor="text1" w:themeTint="D9"/>
                <w:szCs w:val="21"/>
              </w:rPr>
            </m:ctrlPr>
          </m:sSubPr>
          <m:e>
            <m:r>
              <w:rPr>
                <w:rFonts w:ascii="Cambria Math" w:hAnsi="Cambria Math" w:cs="Times New Roman"/>
                <w:color w:val="262626" w:themeColor="text1" w:themeTint="D9"/>
                <w:szCs w:val="21"/>
                <w:lang w:val="en-US"/>
              </w:rPr>
              <m:t>CXGR</m:t>
            </m:r>
          </m:e>
          <m:sub>
            <m:r>
              <w:rPr>
                <w:rFonts w:ascii="Cambria Math" w:hAnsi="Cambria Math" w:cs="Times New Roman"/>
                <w:color w:val="262626" w:themeColor="text1" w:themeTint="D9"/>
                <w:szCs w:val="21"/>
                <w:lang w:val="en-US"/>
              </w:rPr>
              <m:t>t</m:t>
            </m:r>
          </m:sub>
        </m:sSub>
      </m:oMath>
      <w:r w:rsidR="0078726E" w:rsidRPr="00A343D5">
        <w:rPr>
          <w:rFonts w:cs="Times New Roman"/>
          <w:iCs/>
          <w:color w:val="262626" w:themeColor="text1" w:themeTint="D9"/>
          <w:szCs w:val="21"/>
        </w:rPr>
        <w:t xml:space="preserve"> - квартальный или годовой совокупный темп роста в месяце </w:t>
      </w:r>
      <w:r w:rsidR="0078726E" w:rsidRPr="00A343D5">
        <w:rPr>
          <w:rFonts w:cs="Times New Roman"/>
          <w:iCs/>
          <w:color w:val="262626" w:themeColor="text1" w:themeTint="D9"/>
          <w:szCs w:val="21"/>
          <w:lang w:val="en-US"/>
        </w:rPr>
        <w:t>t</w:t>
      </w:r>
    </w:p>
    <w:p w14:paraId="4E2CF4BA" w14:textId="77777777" w:rsidR="0078726E" w:rsidRPr="00A343D5" w:rsidRDefault="0081039C" w:rsidP="00A343D5">
      <w:pPr>
        <w:rPr>
          <w:rFonts w:cs="Times New Roman"/>
          <w:color w:val="262626" w:themeColor="text1" w:themeTint="D9"/>
          <w:szCs w:val="21"/>
        </w:rPr>
      </w:pPr>
      <m:oMath>
        <m:sSub>
          <m:sSubPr>
            <m:ctrlPr>
              <w:rPr>
                <w:rFonts w:ascii="Cambria Math" w:hAnsi="Cambria Math" w:cs="Times New Roman"/>
                <w:i/>
                <w:iCs/>
                <w:color w:val="262626" w:themeColor="text1" w:themeTint="D9"/>
                <w:szCs w:val="21"/>
              </w:rPr>
            </m:ctrlPr>
          </m:sSubPr>
          <m:e>
            <m:r>
              <w:rPr>
                <w:rFonts w:ascii="Cambria Math" w:hAnsi="Cambria Math" w:cs="Times New Roman"/>
                <w:color w:val="262626" w:themeColor="text1" w:themeTint="D9"/>
                <w:szCs w:val="21"/>
                <w:lang w:val="en-US"/>
              </w:rPr>
              <m:t>P</m:t>
            </m:r>
          </m:e>
          <m:sub>
            <m:sSub>
              <m:sSubPr>
                <m:ctrlPr>
                  <w:rPr>
                    <w:rFonts w:ascii="Cambria Math" w:hAnsi="Cambria Math" w:cs="Times New Roman"/>
                    <w:i/>
                    <w:iCs/>
                    <w:color w:val="262626" w:themeColor="text1" w:themeTint="D9"/>
                    <w:szCs w:val="21"/>
                  </w:rPr>
                </m:ctrlPr>
              </m:sSubPr>
              <m:e>
                <m:r>
                  <w:rPr>
                    <w:rFonts w:ascii="Cambria Math" w:hAnsi="Cambria Math" w:cs="Times New Roman"/>
                    <w:color w:val="262626" w:themeColor="text1" w:themeTint="D9"/>
                    <w:szCs w:val="21"/>
                    <w:lang w:val="en-US"/>
                  </w:rPr>
                  <m:t>t</m:t>
                </m:r>
              </m:e>
              <m:sub>
                <m:r>
                  <w:rPr>
                    <w:rFonts w:ascii="Cambria Math" w:hAnsi="Cambria Math" w:cs="Times New Roman"/>
                    <w:color w:val="262626" w:themeColor="text1" w:themeTint="D9"/>
                    <w:szCs w:val="21"/>
                    <w:lang w:val="en-US"/>
                  </w:rPr>
                  <m:t>A</m:t>
                </m:r>
              </m:sub>
            </m:sSub>
          </m:sub>
        </m:sSub>
      </m:oMath>
      <w:r w:rsidR="0078726E" w:rsidRPr="00A343D5">
        <w:rPr>
          <w:rFonts w:cs="Times New Roman"/>
          <w:iCs/>
          <w:color w:val="262626" w:themeColor="text1" w:themeTint="D9"/>
          <w:szCs w:val="21"/>
        </w:rPr>
        <w:t>- цена на начало периода,</w:t>
      </w:r>
    </w:p>
    <w:p w14:paraId="2DB5728A" w14:textId="77777777" w:rsidR="0078726E" w:rsidRPr="00A343D5" w:rsidRDefault="0081039C" w:rsidP="00A343D5">
      <w:pPr>
        <w:rPr>
          <w:rFonts w:cs="Times New Roman"/>
          <w:iCs/>
          <w:color w:val="262626" w:themeColor="text1" w:themeTint="D9"/>
          <w:szCs w:val="21"/>
        </w:rPr>
      </w:pPr>
      <m:oMath>
        <m:sSub>
          <m:sSubPr>
            <m:ctrlPr>
              <w:rPr>
                <w:rFonts w:ascii="Cambria Math" w:hAnsi="Cambria Math" w:cs="Times New Roman"/>
                <w:i/>
                <w:iCs/>
                <w:color w:val="262626" w:themeColor="text1" w:themeTint="D9"/>
                <w:szCs w:val="21"/>
              </w:rPr>
            </m:ctrlPr>
          </m:sSubPr>
          <m:e>
            <m:r>
              <w:rPr>
                <w:rFonts w:ascii="Cambria Math" w:hAnsi="Cambria Math" w:cs="Times New Roman"/>
                <w:color w:val="262626" w:themeColor="text1" w:themeTint="D9"/>
                <w:szCs w:val="21"/>
                <w:lang w:val="en-US"/>
              </w:rPr>
              <m:t>P</m:t>
            </m:r>
          </m:e>
          <m:sub>
            <m:sSub>
              <m:sSubPr>
                <m:ctrlPr>
                  <w:rPr>
                    <w:rFonts w:ascii="Cambria Math" w:hAnsi="Cambria Math" w:cs="Times New Roman"/>
                    <w:i/>
                    <w:iCs/>
                    <w:color w:val="262626" w:themeColor="text1" w:themeTint="D9"/>
                    <w:szCs w:val="21"/>
                  </w:rPr>
                </m:ctrlPr>
              </m:sSubPr>
              <m:e>
                <m:r>
                  <w:rPr>
                    <w:rFonts w:ascii="Cambria Math" w:hAnsi="Cambria Math" w:cs="Times New Roman"/>
                    <w:color w:val="262626" w:themeColor="text1" w:themeTint="D9"/>
                    <w:szCs w:val="21"/>
                    <w:lang w:val="en-US"/>
                  </w:rPr>
                  <m:t>t</m:t>
                </m:r>
              </m:e>
              <m:sub>
                <m:r>
                  <w:rPr>
                    <w:rFonts w:ascii="Cambria Math" w:hAnsi="Cambria Math" w:cs="Times New Roman"/>
                    <w:color w:val="262626" w:themeColor="text1" w:themeTint="D9"/>
                    <w:szCs w:val="21"/>
                    <w:lang w:val="en-US"/>
                  </w:rPr>
                  <m:t>B</m:t>
                </m:r>
              </m:sub>
            </m:sSub>
          </m:sub>
        </m:sSub>
      </m:oMath>
      <w:r w:rsidR="0078726E" w:rsidRPr="00A343D5">
        <w:rPr>
          <w:rFonts w:cs="Times New Roman"/>
          <w:iCs/>
          <w:color w:val="262626" w:themeColor="text1" w:themeTint="D9"/>
          <w:szCs w:val="21"/>
        </w:rPr>
        <w:t xml:space="preserve"> - цена на конец периода, </w:t>
      </w:r>
    </w:p>
    <w:p w14:paraId="24F7F259" w14:textId="77777777" w:rsidR="0078726E" w:rsidRPr="00A343D5" w:rsidRDefault="0081039C" w:rsidP="00A343D5">
      <w:pPr>
        <w:rPr>
          <w:rFonts w:cs="Times New Roman"/>
          <w:color w:val="262626" w:themeColor="text1" w:themeTint="D9"/>
          <w:szCs w:val="21"/>
        </w:rPr>
      </w:pPr>
      <m:oMath>
        <m:sSub>
          <m:sSubPr>
            <m:ctrlPr>
              <w:rPr>
                <w:rFonts w:ascii="Cambria Math" w:hAnsi="Cambria Math" w:cs="Times New Roman"/>
                <w:i/>
                <w:color w:val="262626" w:themeColor="text1" w:themeTint="D9"/>
                <w:szCs w:val="21"/>
              </w:rPr>
            </m:ctrlPr>
          </m:sSubPr>
          <m:e>
            <m:r>
              <w:rPr>
                <w:rFonts w:ascii="Cambria Math" w:hAnsi="Cambria Math" w:cs="Times New Roman"/>
                <w:color w:val="262626" w:themeColor="text1" w:themeTint="D9"/>
                <w:szCs w:val="21"/>
                <w:lang w:val="en-US"/>
              </w:rPr>
              <m:t>t</m:t>
            </m:r>
          </m:e>
          <m:sub>
            <m:r>
              <w:rPr>
                <w:rFonts w:ascii="Cambria Math" w:hAnsi="Cambria Math" w:cs="Times New Roman"/>
                <w:color w:val="262626" w:themeColor="text1" w:themeTint="D9"/>
                <w:szCs w:val="21"/>
                <w:lang w:val="en-US"/>
              </w:rPr>
              <m:t>B</m:t>
            </m:r>
          </m:sub>
        </m:sSub>
        <m:r>
          <w:rPr>
            <w:rFonts w:ascii="Cambria Math" w:hAnsi="Cambria Math" w:cs="Times New Roman"/>
            <w:color w:val="262626" w:themeColor="text1" w:themeTint="D9"/>
            <w:szCs w:val="21"/>
          </w:rPr>
          <m:t>-</m:t>
        </m:r>
        <m:sSub>
          <m:sSubPr>
            <m:ctrlPr>
              <w:rPr>
                <w:rFonts w:ascii="Cambria Math" w:hAnsi="Cambria Math" w:cs="Times New Roman"/>
                <w:i/>
                <w:color w:val="262626" w:themeColor="text1" w:themeTint="D9"/>
                <w:szCs w:val="21"/>
              </w:rPr>
            </m:ctrlPr>
          </m:sSubPr>
          <m:e>
            <m:r>
              <w:rPr>
                <w:rFonts w:ascii="Cambria Math" w:hAnsi="Cambria Math" w:cs="Times New Roman"/>
                <w:color w:val="262626" w:themeColor="text1" w:themeTint="D9"/>
                <w:szCs w:val="21"/>
                <w:lang w:val="en-US"/>
              </w:rPr>
              <m:t>t</m:t>
            </m:r>
          </m:e>
          <m:sub>
            <m:r>
              <w:rPr>
                <w:rFonts w:ascii="Cambria Math" w:hAnsi="Cambria Math" w:cs="Times New Roman"/>
                <w:color w:val="262626" w:themeColor="text1" w:themeTint="D9"/>
                <w:szCs w:val="21"/>
                <w:lang w:val="en-US"/>
              </w:rPr>
              <m:t>A</m:t>
            </m:r>
          </m:sub>
        </m:sSub>
      </m:oMath>
      <w:r w:rsidR="0078726E" w:rsidRPr="00A343D5">
        <w:rPr>
          <w:rFonts w:cs="Times New Roman"/>
          <w:iCs/>
          <w:color w:val="262626" w:themeColor="text1" w:themeTint="D9"/>
          <w:szCs w:val="21"/>
        </w:rPr>
        <w:t xml:space="preserve"> - время в месяцах между периодами </w:t>
      </w:r>
      <w:r w:rsidR="0078726E" w:rsidRPr="00A343D5">
        <w:rPr>
          <w:rFonts w:cs="Times New Roman"/>
          <w:iCs/>
          <w:color w:val="262626" w:themeColor="text1" w:themeTint="D9"/>
          <w:szCs w:val="21"/>
          <w:lang w:val="en-US"/>
        </w:rPr>
        <w:t>A</w:t>
      </w:r>
      <w:r w:rsidR="0078726E" w:rsidRPr="00A343D5">
        <w:rPr>
          <w:rFonts w:cs="Times New Roman"/>
          <w:iCs/>
          <w:color w:val="262626" w:themeColor="text1" w:themeTint="D9"/>
          <w:szCs w:val="21"/>
        </w:rPr>
        <w:t xml:space="preserve"> и </w:t>
      </w:r>
      <w:r w:rsidR="0078726E" w:rsidRPr="00A343D5">
        <w:rPr>
          <w:rFonts w:cs="Times New Roman"/>
          <w:iCs/>
          <w:color w:val="262626" w:themeColor="text1" w:themeTint="D9"/>
          <w:szCs w:val="21"/>
          <w:lang w:val="en-US"/>
        </w:rPr>
        <w:t>B</w:t>
      </w:r>
      <w:r w:rsidR="0078726E" w:rsidRPr="00A343D5">
        <w:rPr>
          <w:rFonts w:cs="Times New Roman"/>
          <w:iCs/>
          <w:color w:val="262626" w:themeColor="text1" w:themeTint="D9"/>
          <w:szCs w:val="21"/>
        </w:rPr>
        <w:t>.</w:t>
      </w:r>
    </w:p>
    <w:p w14:paraId="2C72AE96" w14:textId="77777777" w:rsidR="00397764" w:rsidRPr="00A343D5" w:rsidRDefault="00397764" w:rsidP="00A343D5">
      <w:pPr>
        <w:shd w:val="clear" w:color="auto" w:fill="FFFFFF"/>
        <w:spacing w:after="0"/>
        <w:rPr>
          <w:rFonts w:eastAsia="Times New Roman" w:cs="Times New Roman"/>
          <w:bCs/>
          <w:szCs w:val="21"/>
          <w:lang w:eastAsia="en-GB"/>
        </w:rPr>
      </w:pPr>
    </w:p>
    <w:p w14:paraId="46A06BE9" w14:textId="77777777" w:rsidR="00407E4E" w:rsidRPr="00A343D5" w:rsidRDefault="00407E4E" w:rsidP="00A343D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Единица измерения</w:t>
      </w:r>
    </w:p>
    <w:p w14:paraId="1358A50F" w14:textId="59C386A2" w:rsidR="00964BE9" w:rsidRPr="00A343D5" w:rsidRDefault="000311CE" w:rsidP="00A343D5">
      <w:pPr>
        <w:pBdr>
          <w:top w:val="nil"/>
          <w:left w:val="nil"/>
          <w:bottom w:val="nil"/>
          <w:right w:val="nil"/>
          <w:between w:val="nil"/>
          <w:bar w:val="nil"/>
        </w:pBdr>
        <w:spacing w:after="0"/>
        <w:rPr>
          <w:rFonts w:eastAsia="Times New Roman" w:cs="Times New Roman"/>
          <w:szCs w:val="24"/>
          <w:lang w:eastAsia="en-GB"/>
        </w:rPr>
      </w:pPr>
      <w:r w:rsidRPr="000311CE">
        <w:rPr>
          <w:rFonts w:eastAsia="Times New Roman" w:cs="Times New Roman"/>
          <w:szCs w:val="24"/>
          <w:lang w:eastAsia="en-GB"/>
        </w:rPr>
        <w:t>Индекс и процент</w:t>
      </w:r>
      <w:r w:rsidR="00FE53A5" w:rsidRPr="00A343D5">
        <w:rPr>
          <w:rFonts w:eastAsia="Times New Roman" w:cs="Times New Roman"/>
          <w:szCs w:val="24"/>
          <w:lang w:eastAsia="en-GB"/>
        </w:rPr>
        <w:t>.</w:t>
      </w:r>
    </w:p>
    <w:p w14:paraId="4AC0FB01" w14:textId="77777777" w:rsidR="00FE53A5" w:rsidRPr="00A343D5" w:rsidRDefault="00FE53A5" w:rsidP="00A343D5">
      <w:pPr>
        <w:pBdr>
          <w:top w:val="nil"/>
          <w:left w:val="nil"/>
          <w:bottom w:val="nil"/>
          <w:right w:val="nil"/>
          <w:between w:val="nil"/>
          <w:bar w:val="nil"/>
        </w:pBdr>
        <w:spacing w:after="0"/>
        <w:rPr>
          <w:rFonts w:cs="Times New Roman"/>
          <w:szCs w:val="24"/>
        </w:rPr>
      </w:pPr>
    </w:p>
    <w:p w14:paraId="686A24EF" w14:textId="77777777" w:rsidR="000A229E" w:rsidRPr="00A343D5" w:rsidRDefault="000A229E" w:rsidP="00A343D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c</w:t>
      </w:r>
      <w:r w:rsidRPr="00A343D5">
        <w:rPr>
          <w:color w:val="auto"/>
          <w:sz w:val="24"/>
          <w:szCs w:val="24"/>
          <w:lang w:val="ru-RU"/>
        </w:rPr>
        <w:t xml:space="preserve">. </w:t>
      </w:r>
      <w:r w:rsidRPr="00A343D5">
        <w:rPr>
          <w:b/>
          <w:color w:val="auto"/>
          <w:sz w:val="24"/>
          <w:szCs w:val="24"/>
          <w:lang w:val="ru-RU"/>
        </w:rPr>
        <w:t>Классификации</w:t>
      </w:r>
    </w:p>
    <w:p w14:paraId="4B17E148" w14:textId="77777777" w:rsidR="00964BE9" w:rsidRPr="00A343D5" w:rsidRDefault="00FE53A5" w:rsidP="00A343D5">
      <w:pPr>
        <w:pStyle w:val="MText"/>
        <w:rPr>
          <w:color w:val="auto"/>
          <w:sz w:val="24"/>
          <w:szCs w:val="24"/>
          <w:lang w:val="ru-RU"/>
        </w:rPr>
      </w:pPr>
      <w:r w:rsidRPr="00A343D5">
        <w:rPr>
          <w:color w:val="auto"/>
          <w:sz w:val="24"/>
          <w:szCs w:val="24"/>
          <w:lang w:val="ru-RU"/>
        </w:rPr>
        <w:t>Не применимо.</w:t>
      </w:r>
    </w:p>
    <w:p w14:paraId="6E2A55AE" w14:textId="77777777" w:rsidR="000A229E" w:rsidRPr="00A343D5" w:rsidRDefault="000A229E" w:rsidP="00A343D5">
      <w:pPr>
        <w:pStyle w:val="MHeader"/>
        <w:rPr>
          <w:b/>
          <w:color w:val="auto"/>
          <w:sz w:val="24"/>
          <w:szCs w:val="24"/>
          <w:lang w:val="ru-RU"/>
        </w:rPr>
      </w:pPr>
      <w:r w:rsidRPr="00A343D5">
        <w:rPr>
          <w:b/>
          <w:color w:val="auto"/>
          <w:sz w:val="24"/>
          <w:szCs w:val="24"/>
          <w:lang w:val="ru-RU"/>
        </w:rPr>
        <w:t>3. Тип источника данных и метод сбора данных</w:t>
      </w:r>
    </w:p>
    <w:p w14:paraId="6925DBD6" w14:textId="77777777" w:rsidR="000A229E" w:rsidRPr="00A343D5" w:rsidRDefault="000A229E" w:rsidP="00A343D5">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a</w:t>
      </w:r>
      <w:r w:rsidRPr="00A343D5">
        <w:rPr>
          <w:color w:val="auto"/>
          <w:sz w:val="24"/>
          <w:szCs w:val="24"/>
          <w:lang w:val="ru-RU"/>
        </w:rPr>
        <w:t xml:space="preserve">. </w:t>
      </w:r>
      <w:r w:rsidRPr="00A343D5">
        <w:rPr>
          <w:b/>
          <w:color w:val="auto"/>
          <w:sz w:val="24"/>
          <w:szCs w:val="24"/>
          <w:lang w:val="ru-RU"/>
        </w:rPr>
        <w:t>Источники данных</w:t>
      </w:r>
    </w:p>
    <w:p w14:paraId="6C6F82AC" w14:textId="77777777" w:rsidR="00FE53A5" w:rsidRPr="00A343D5" w:rsidRDefault="00FE53A5" w:rsidP="00A343D5">
      <w:pPr>
        <w:rPr>
          <w:rFonts w:cs="Times New Roman"/>
        </w:rPr>
      </w:pPr>
      <w:r w:rsidRPr="00A343D5">
        <w:rPr>
          <w:rFonts w:cs="Times New Roman"/>
        </w:rPr>
        <w:t xml:space="preserve">ФАО использует официальные данные о внутренних ценах, которые организация собирает с помощью веб-инструмента для анализа и распространения данных о ценах (FPMA), предназначенного  специально для расчета и мониторинга показателя. Отслеживаются показатели по пяти зерновым продуктам: кукуруза и продукты из кукурузы, пшеница и пшеничная мука, рис, сорго и просо. В то время как диеты во всем мире стали более разнообразными с увеличением доходов, злаки по-прежнему составляют 45 процентов дневной нормы калорийности человека, что делает эту группу товаров наиболее важной с точки зрения ее вклада в калорийность, особенно для групп населения с низкими доходами (FAOSTAT, 2017). В целях более полного охвата на глобальном уровне ФАО также рассчитывает IFPA на основе официально представленных странами индексов цен на продукты питания, представленных в FAOSTAT, что облегчает </w:t>
      </w:r>
      <w:proofErr w:type="spellStart"/>
      <w:r w:rsidRPr="00A343D5">
        <w:rPr>
          <w:rFonts w:cs="Times New Roman"/>
        </w:rPr>
        <w:t>межстрановые</w:t>
      </w:r>
      <w:proofErr w:type="spellEnd"/>
      <w:r w:rsidRPr="00A343D5">
        <w:rPr>
          <w:rFonts w:cs="Times New Roman"/>
        </w:rPr>
        <w:t xml:space="preserve"> сравнения, поскольку </w:t>
      </w:r>
      <w:r w:rsidR="00122608" w:rsidRPr="00A343D5">
        <w:rPr>
          <w:rFonts w:cs="Times New Roman"/>
        </w:rPr>
        <w:t>также учитывается</w:t>
      </w:r>
      <w:r w:rsidRPr="00A343D5">
        <w:rPr>
          <w:rFonts w:cs="Times New Roman"/>
        </w:rPr>
        <w:t xml:space="preserve"> продовольственн</w:t>
      </w:r>
      <w:r w:rsidR="00122608" w:rsidRPr="00A343D5">
        <w:rPr>
          <w:rFonts w:cs="Times New Roman"/>
        </w:rPr>
        <w:t>ая</w:t>
      </w:r>
      <w:r w:rsidRPr="00A343D5">
        <w:rPr>
          <w:rFonts w:cs="Times New Roman"/>
        </w:rPr>
        <w:t xml:space="preserve"> корзин</w:t>
      </w:r>
      <w:r w:rsidR="00122608" w:rsidRPr="00A343D5">
        <w:rPr>
          <w:rFonts w:cs="Times New Roman"/>
        </w:rPr>
        <w:t>а на</w:t>
      </w:r>
      <w:r w:rsidRPr="00A343D5">
        <w:rPr>
          <w:rFonts w:cs="Times New Roman"/>
        </w:rPr>
        <w:t xml:space="preserve"> национально</w:t>
      </w:r>
      <w:r w:rsidR="00122608" w:rsidRPr="00A343D5">
        <w:rPr>
          <w:rFonts w:cs="Times New Roman"/>
        </w:rPr>
        <w:t>м</w:t>
      </w:r>
      <w:r w:rsidRPr="00A343D5">
        <w:rPr>
          <w:rFonts w:cs="Times New Roman"/>
        </w:rPr>
        <w:t xml:space="preserve"> уровн</w:t>
      </w:r>
      <w:r w:rsidR="00122608" w:rsidRPr="00A343D5">
        <w:rPr>
          <w:rFonts w:cs="Times New Roman"/>
        </w:rPr>
        <w:t>е</w:t>
      </w:r>
      <w:r w:rsidRPr="00A343D5">
        <w:rPr>
          <w:rFonts w:cs="Times New Roman"/>
        </w:rPr>
        <w:t xml:space="preserve">, охватывающую все наиболее важные потребляемые товары. Хотя </w:t>
      </w:r>
      <w:r w:rsidR="00122608" w:rsidRPr="00A343D5">
        <w:rPr>
          <w:rFonts w:cs="Times New Roman"/>
        </w:rPr>
        <w:t xml:space="preserve">продовольственная </w:t>
      </w:r>
      <w:r w:rsidRPr="00A343D5">
        <w:rPr>
          <w:rFonts w:cs="Times New Roman"/>
        </w:rPr>
        <w:t xml:space="preserve">корзина отличается от страны к стране, этот подход больше отражает национальные и глобальные тенденции, поскольку страны заранее определили товары, </w:t>
      </w:r>
      <w:r w:rsidRPr="00A343D5">
        <w:rPr>
          <w:rFonts w:cs="Times New Roman"/>
        </w:rPr>
        <w:lastRenderedPageBreak/>
        <w:t xml:space="preserve">которые оказывают наибольшее влияние на местных потребителей. Этот подход также облегчает внедрение индикатора, поскольку странам </w:t>
      </w:r>
      <w:r w:rsidR="00122608" w:rsidRPr="00A343D5">
        <w:rPr>
          <w:rFonts w:cs="Times New Roman"/>
        </w:rPr>
        <w:t>нет необходимости</w:t>
      </w:r>
      <w:r w:rsidRPr="00A343D5">
        <w:rPr>
          <w:rFonts w:cs="Times New Roman"/>
        </w:rPr>
        <w:t xml:space="preserve"> создавать новый индекс или изменять существующие методологии.</w:t>
      </w:r>
    </w:p>
    <w:p w14:paraId="0CF4E9D6" w14:textId="77777777" w:rsidR="00FE79B4" w:rsidRPr="00A343D5" w:rsidRDefault="00FE53A5" w:rsidP="00A343D5">
      <w:pPr>
        <w:rPr>
          <w:rFonts w:cs="Times New Roman"/>
        </w:rPr>
      </w:pPr>
      <w:r w:rsidRPr="00A343D5">
        <w:rPr>
          <w:rFonts w:cs="Times New Roman"/>
        </w:rPr>
        <w:t xml:space="preserve">Что касается ИПЦ </w:t>
      </w:r>
      <w:r w:rsidR="00FE79B4" w:rsidRPr="00A343D5">
        <w:rPr>
          <w:rFonts w:cs="Times New Roman"/>
        </w:rPr>
        <w:t xml:space="preserve">по </w:t>
      </w:r>
      <w:r w:rsidRPr="00A343D5">
        <w:rPr>
          <w:rFonts w:cs="Times New Roman"/>
        </w:rPr>
        <w:t>продукт</w:t>
      </w:r>
      <w:r w:rsidR="00FE79B4" w:rsidRPr="00A343D5">
        <w:rPr>
          <w:rFonts w:cs="Times New Roman"/>
        </w:rPr>
        <w:t>ам</w:t>
      </w:r>
      <w:r w:rsidRPr="00A343D5">
        <w:rPr>
          <w:rFonts w:cs="Times New Roman"/>
        </w:rPr>
        <w:t xml:space="preserve"> питания, то ежемесячная база данных ИПЦ FAOSTAT и ИПЦ </w:t>
      </w:r>
      <w:r w:rsidR="00FE79B4" w:rsidRPr="00A343D5">
        <w:rPr>
          <w:rFonts w:cs="Times New Roman"/>
        </w:rPr>
        <w:t>по</w:t>
      </w:r>
      <w:r w:rsidRPr="00A343D5">
        <w:rPr>
          <w:rFonts w:cs="Times New Roman"/>
        </w:rPr>
        <w:t xml:space="preserve"> проду</w:t>
      </w:r>
      <w:r w:rsidR="00FE79B4" w:rsidRPr="00A343D5">
        <w:rPr>
          <w:rFonts w:cs="Times New Roman"/>
        </w:rPr>
        <w:t>ктам</w:t>
      </w:r>
      <w:r w:rsidRPr="00A343D5">
        <w:rPr>
          <w:rFonts w:cs="Times New Roman"/>
        </w:rPr>
        <w:t xml:space="preserve"> питания основывалась на данных ИПЦ МОТ до декабря 2014 года. В 2014 году МВФ-МОТ-ФАО согласились передать сбор данных глобальных ИПЦ из МОТ в МВФ. </w:t>
      </w:r>
      <w:r w:rsidR="00FE79B4" w:rsidRPr="00A343D5">
        <w:rPr>
          <w:rFonts w:cs="Times New Roman"/>
        </w:rPr>
        <w:t xml:space="preserve">Было определено, что Международный валютный фонд (МВФ) и Статистическое управление ООН (СОООН) будет предоставлять </w:t>
      </w:r>
      <w:r w:rsidRPr="00A343D5">
        <w:rPr>
          <w:rFonts w:cs="Times New Roman"/>
        </w:rPr>
        <w:t xml:space="preserve">ИПЦ для всех </w:t>
      </w:r>
      <w:r w:rsidR="00FE79B4" w:rsidRPr="00A343D5">
        <w:rPr>
          <w:rFonts w:cs="Times New Roman"/>
        </w:rPr>
        <w:t>показателей</w:t>
      </w:r>
      <w:r w:rsidRPr="00A343D5">
        <w:rPr>
          <w:rFonts w:cs="Times New Roman"/>
        </w:rPr>
        <w:t xml:space="preserve"> и </w:t>
      </w:r>
      <w:r w:rsidR="00FE79B4" w:rsidRPr="00A343D5">
        <w:rPr>
          <w:rFonts w:cs="Times New Roman"/>
        </w:rPr>
        <w:t xml:space="preserve">их </w:t>
      </w:r>
      <w:r w:rsidRPr="00A343D5">
        <w:rPr>
          <w:rFonts w:cs="Times New Roman"/>
        </w:rPr>
        <w:t>подкомпонентов</w:t>
      </w:r>
      <w:r w:rsidR="00FE79B4" w:rsidRPr="00A343D5">
        <w:rPr>
          <w:rFonts w:cs="Times New Roman"/>
        </w:rPr>
        <w:t xml:space="preserve"> </w:t>
      </w:r>
      <w:r w:rsidRPr="00A343D5">
        <w:rPr>
          <w:rFonts w:cs="Times New Roman"/>
        </w:rPr>
        <w:t>для стран,</w:t>
      </w:r>
      <w:r w:rsidR="00FE79B4" w:rsidRPr="00A343D5">
        <w:rPr>
          <w:rFonts w:cs="Times New Roman"/>
        </w:rPr>
        <w:t xml:space="preserve"> чьи данные не представлены в</w:t>
      </w:r>
      <w:r w:rsidRPr="00A343D5">
        <w:rPr>
          <w:rFonts w:cs="Times New Roman"/>
        </w:rPr>
        <w:t xml:space="preserve"> МВФ. Однако из-за ограниченного времени охвата МВФ и СОООН </w:t>
      </w:r>
      <w:r w:rsidR="00FE79B4" w:rsidRPr="00A343D5">
        <w:rPr>
          <w:rFonts w:cs="Times New Roman"/>
        </w:rPr>
        <w:t>по ряду</w:t>
      </w:r>
      <w:r w:rsidRPr="00A343D5">
        <w:rPr>
          <w:rFonts w:cs="Times New Roman"/>
        </w:rPr>
        <w:t xml:space="preserve"> стран, </w:t>
      </w:r>
      <w:r w:rsidR="00D604B3" w:rsidRPr="00A343D5">
        <w:rPr>
          <w:rFonts w:cs="Times New Roman"/>
        </w:rPr>
        <w:t xml:space="preserve">недостающие </w:t>
      </w:r>
      <w:r w:rsidR="00062184" w:rsidRPr="00A343D5">
        <w:rPr>
          <w:rFonts w:cs="Times New Roman"/>
        </w:rPr>
        <w:t xml:space="preserve">в ИПЦ </w:t>
      </w:r>
      <w:r w:rsidR="00D604B3" w:rsidRPr="00A343D5">
        <w:rPr>
          <w:rFonts w:cs="Times New Roman"/>
        </w:rPr>
        <w:t xml:space="preserve">данные </w:t>
      </w:r>
      <w:r w:rsidR="00062184" w:rsidRPr="00A343D5">
        <w:rPr>
          <w:rFonts w:cs="Times New Roman"/>
        </w:rPr>
        <w:t xml:space="preserve">за прошлые периоды будут получены из </w:t>
      </w:r>
      <w:r w:rsidRPr="00A343D5">
        <w:rPr>
          <w:rFonts w:cs="Times New Roman"/>
        </w:rPr>
        <w:t>Организаци</w:t>
      </w:r>
      <w:r w:rsidR="00062184" w:rsidRPr="00A343D5">
        <w:rPr>
          <w:rFonts w:cs="Times New Roman"/>
        </w:rPr>
        <w:t>и</w:t>
      </w:r>
      <w:r w:rsidRPr="00A343D5">
        <w:rPr>
          <w:rFonts w:cs="Times New Roman"/>
        </w:rPr>
        <w:t xml:space="preserve"> экономического сотрудничества и развития (ОЭСР), </w:t>
      </w:r>
      <w:r w:rsidR="00D604B3" w:rsidRPr="00A343D5">
        <w:rPr>
          <w:rFonts w:cs="Times New Roman"/>
        </w:rPr>
        <w:t>статистическ</w:t>
      </w:r>
      <w:r w:rsidR="00062184" w:rsidRPr="00A343D5">
        <w:rPr>
          <w:rFonts w:cs="Times New Roman"/>
        </w:rPr>
        <w:t xml:space="preserve">ой </w:t>
      </w:r>
      <w:r w:rsidR="00D604B3" w:rsidRPr="00A343D5">
        <w:rPr>
          <w:rFonts w:cs="Times New Roman"/>
        </w:rPr>
        <w:t>служб</w:t>
      </w:r>
      <w:r w:rsidR="00062184" w:rsidRPr="00A343D5">
        <w:rPr>
          <w:rFonts w:cs="Times New Roman"/>
        </w:rPr>
        <w:t>ы</w:t>
      </w:r>
      <w:r w:rsidR="00D604B3" w:rsidRPr="00A343D5">
        <w:rPr>
          <w:rFonts w:cs="Times New Roman"/>
        </w:rPr>
        <w:t xml:space="preserve"> Европейского союза</w:t>
      </w:r>
      <w:r w:rsidRPr="00A343D5">
        <w:rPr>
          <w:rFonts w:cs="Times New Roman"/>
        </w:rPr>
        <w:t xml:space="preserve"> (</w:t>
      </w:r>
      <w:proofErr w:type="spellStart"/>
      <w:r w:rsidRPr="00A343D5">
        <w:rPr>
          <w:rFonts w:cs="Times New Roman"/>
        </w:rPr>
        <w:t>Евростат</w:t>
      </w:r>
      <w:proofErr w:type="spellEnd"/>
      <w:r w:rsidRPr="00A343D5">
        <w:rPr>
          <w:rFonts w:cs="Times New Roman"/>
        </w:rPr>
        <w:t xml:space="preserve">), </w:t>
      </w:r>
      <w:r w:rsidR="00D604B3" w:rsidRPr="00A343D5">
        <w:rPr>
          <w:rFonts w:cs="Times New Roman"/>
        </w:rPr>
        <w:t>статистическ</w:t>
      </w:r>
      <w:r w:rsidR="00062184" w:rsidRPr="00A343D5">
        <w:rPr>
          <w:rFonts w:cs="Times New Roman"/>
        </w:rPr>
        <w:t>ой</w:t>
      </w:r>
      <w:r w:rsidR="00D604B3" w:rsidRPr="00A343D5">
        <w:rPr>
          <w:rFonts w:cs="Times New Roman"/>
        </w:rPr>
        <w:t xml:space="preserve"> служб</w:t>
      </w:r>
      <w:r w:rsidR="00062184" w:rsidRPr="00A343D5">
        <w:rPr>
          <w:rFonts w:cs="Times New Roman"/>
        </w:rPr>
        <w:t>ы</w:t>
      </w:r>
      <w:r w:rsidR="00D604B3" w:rsidRPr="00A343D5">
        <w:rPr>
          <w:rFonts w:cs="Times New Roman"/>
        </w:rPr>
        <w:t xml:space="preserve"> стран</w:t>
      </w:r>
      <w:r w:rsidRPr="00A343D5">
        <w:rPr>
          <w:rFonts w:cs="Times New Roman"/>
        </w:rPr>
        <w:t xml:space="preserve"> Латинской Аме</w:t>
      </w:r>
      <w:r w:rsidR="00D604B3" w:rsidRPr="00A343D5">
        <w:rPr>
          <w:rFonts w:cs="Times New Roman"/>
        </w:rPr>
        <w:t>рики и Карибского бассейна, Центральн</w:t>
      </w:r>
      <w:r w:rsidR="00062184" w:rsidRPr="00A343D5">
        <w:rPr>
          <w:rFonts w:cs="Times New Roman"/>
        </w:rPr>
        <w:t>ого</w:t>
      </w:r>
      <w:r w:rsidR="00D604B3" w:rsidRPr="00A343D5">
        <w:rPr>
          <w:rFonts w:cs="Times New Roman"/>
        </w:rPr>
        <w:t xml:space="preserve"> банк</w:t>
      </w:r>
      <w:r w:rsidR="00062184" w:rsidRPr="00A343D5">
        <w:rPr>
          <w:rFonts w:cs="Times New Roman"/>
        </w:rPr>
        <w:t>а</w:t>
      </w:r>
      <w:r w:rsidR="00D604B3" w:rsidRPr="00A343D5">
        <w:rPr>
          <w:rFonts w:cs="Times New Roman"/>
        </w:rPr>
        <w:t xml:space="preserve"> западноафриканских государств</w:t>
      </w:r>
      <w:r w:rsidRPr="00A343D5">
        <w:rPr>
          <w:rFonts w:cs="Times New Roman"/>
        </w:rPr>
        <w:t xml:space="preserve">, Восточно-Карибского центрального банка и </w:t>
      </w:r>
      <w:r w:rsidR="00EE3914" w:rsidRPr="00A343D5">
        <w:rPr>
          <w:rFonts w:cs="Times New Roman"/>
        </w:rPr>
        <w:t xml:space="preserve">веб-сайтов </w:t>
      </w:r>
      <w:r w:rsidRPr="00A343D5">
        <w:rPr>
          <w:rFonts w:cs="Times New Roman"/>
        </w:rPr>
        <w:t>национальн</w:t>
      </w:r>
      <w:r w:rsidR="00EE3914" w:rsidRPr="00A343D5">
        <w:rPr>
          <w:rFonts w:cs="Times New Roman"/>
        </w:rPr>
        <w:t>ых</w:t>
      </w:r>
      <w:r w:rsidRPr="00A343D5">
        <w:rPr>
          <w:rFonts w:cs="Times New Roman"/>
        </w:rPr>
        <w:t xml:space="preserve"> статистическ</w:t>
      </w:r>
      <w:r w:rsidR="00EE3914" w:rsidRPr="00A343D5">
        <w:rPr>
          <w:rFonts w:cs="Times New Roman"/>
        </w:rPr>
        <w:t>их</w:t>
      </w:r>
      <w:r w:rsidRPr="00A343D5">
        <w:rPr>
          <w:rFonts w:cs="Times New Roman"/>
        </w:rPr>
        <w:t xml:space="preserve"> </w:t>
      </w:r>
      <w:r w:rsidR="00EE3914" w:rsidRPr="00A343D5">
        <w:rPr>
          <w:rFonts w:cs="Times New Roman"/>
        </w:rPr>
        <w:t>служб</w:t>
      </w:r>
      <w:r w:rsidRPr="00A343D5">
        <w:rPr>
          <w:rFonts w:cs="Times New Roman"/>
        </w:rPr>
        <w:t>. Набор данных ФАО по ИПЦ по всем позициям (или общий ИПЦ) и ИПЦ на продовольствие состоит из полного и согласованного набора временных рядов, начиная с января 2000 года. Он также содержит региональные и глобальные ИПЦ на продукты питания, составленные ФАО с использованием веса населения для агрегирования по странам.</w:t>
      </w:r>
    </w:p>
    <w:p w14:paraId="2ABB7935" w14:textId="77777777" w:rsidR="00995788" w:rsidRPr="00A343D5" w:rsidRDefault="000A229E" w:rsidP="00A343D5">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Метод сбора данных</w:t>
      </w:r>
    </w:p>
    <w:p w14:paraId="75259E26" w14:textId="77777777" w:rsidR="003A389C" w:rsidRPr="00A343D5" w:rsidRDefault="003A389C" w:rsidP="00A343D5">
      <w:pPr>
        <w:rPr>
          <w:rFonts w:cs="Times New Roman"/>
        </w:rPr>
      </w:pPr>
      <w:r w:rsidRPr="00A343D5">
        <w:rPr>
          <w:rFonts w:cs="Times New Roman"/>
        </w:rPr>
        <w:t>Данные по ценам на продовольственные товары собираются путем анализа веб-страниц, информационных бюллетеней или электронных писем национальных служб, ответственных за сбор и распространение цен на продукты питания. Индексы цен на продукты питания собираются из FAOSTAT (см. 3.a. Источники данных).</w:t>
      </w:r>
    </w:p>
    <w:p w14:paraId="3F3104FA" w14:textId="77777777" w:rsidR="000A229E" w:rsidRPr="00A343D5" w:rsidRDefault="000A229E" w:rsidP="00A343D5">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c</w:t>
      </w:r>
      <w:r w:rsidRPr="00A343D5">
        <w:rPr>
          <w:color w:val="auto"/>
          <w:sz w:val="24"/>
          <w:szCs w:val="24"/>
          <w:lang w:val="ru-RU"/>
        </w:rPr>
        <w:t xml:space="preserve">. </w:t>
      </w:r>
      <w:r w:rsidRPr="00A343D5">
        <w:rPr>
          <w:b/>
          <w:color w:val="auto"/>
          <w:sz w:val="24"/>
          <w:szCs w:val="24"/>
          <w:lang w:val="ru-RU"/>
        </w:rPr>
        <w:t>Календарь сбора данных</w:t>
      </w:r>
    </w:p>
    <w:p w14:paraId="5698B752" w14:textId="77777777" w:rsidR="003A389C" w:rsidRPr="00A343D5" w:rsidRDefault="003A389C" w:rsidP="00A343D5">
      <w:pPr>
        <w:rPr>
          <w:rFonts w:cs="Times New Roman"/>
        </w:rPr>
      </w:pPr>
      <w:r w:rsidRPr="00A343D5">
        <w:rPr>
          <w:rFonts w:cs="Times New Roman"/>
        </w:rPr>
        <w:t>Данные по ценам на продовольственные товары в инструменте FPMA обновляются ежемесячно. Индексы цен на продукты питания в FAOSTAT обновляются ежеквартально.</w:t>
      </w:r>
    </w:p>
    <w:p w14:paraId="3BBDB016" w14:textId="77777777" w:rsidR="000A229E" w:rsidRPr="00A343D5" w:rsidRDefault="000A229E" w:rsidP="00A343D5">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d</w:t>
      </w:r>
      <w:r w:rsidR="003A389C" w:rsidRPr="00A343D5">
        <w:rPr>
          <w:color w:val="auto"/>
          <w:sz w:val="24"/>
          <w:szCs w:val="24"/>
          <w:lang w:val="ru-RU"/>
        </w:rPr>
        <w:t>.</w:t>
      </w:r>
      <w:r w:rsidRPr="00A343D5">
        <w:rPr>
          <w:b/>
          <w:color w:val="auto"/>
          <w:sz w:val="24"/>
          <w:szCs w:val="24"/>
          <w:lang w:val="ru-RU"/>
        </w:rPr>
        <w:t>Календарь выпуска данных</w:t>
      </w:r>
    </w:p>
    <w:p w14:paraId="2600ACAC" w14:textId="77777777" w:rsidR="00B443B3" w:rsidRDefault="00B443B3" w:rsidP="00A343D5">
      <w:pPr>
        <w:pStyle w:val="MHeader2"/>
        <w:spacing w:line="276" w:lineRule="auto"/>
        <w:rPr>
          <w:rFonts w:eastAsiaTheme="minorHAnsi"/>
          <w:color w:val="auto"/>
          <w:sz w:val="24"/>
          <w:szCs w:val="22"/>
          <w:lang w:val="ru-RU" w:eastAsia="en-US"/>
        </w:rPr>
      </w:pPr>
      <w:r w:rsidRPr="00B443B3">
        <w:rPr>
          <w:rFonts w:eastAsiaTheme="minorHAnsi"/>
          <w:color w:val="auto"/>
          <w:sz w:val="24"/>
          <w:szCs w:val="22"/>
          <w:lang w:val="ru-RU" w:eastAsia="en-US"/>
        </w:rPr>
        <w:t xml:space="preserve">В течение второго квартала каждого года </w:t>
      </w:r>
    </w:p>
    <w:p w14:paraId="190856D0" w14:textId="77D0F2D4" w:rsidR="000A229E" w:rsidRPr="00A343D5" w:rsidRDefault="000A229E" w:rsidP="00A343D5">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e</w:t>
      </w:r>
      <w:r w:rsidRPr="00A343D5">
        <w:rPr>
          <w:color w:val="auto"/>
          <w:sz w:val="24"/>
          <w:szCs w:val="24"/>
          <w:lang w:val="ru-RU"/>
        </w:rPr>
        <w:t xml:space="preserve">. </w:t>
      </w:r>
      <w:r w:rsidR="00A71EC6" w:rsidRPr="00A343D5">
        <w:rPr>
          <w:b/>
          <w:color w:val="auto"/>
          <w:sz w:val="24"/>
          <w:szCs w:val="24"/>
          <w:lang w:val="ru-RU"/>
        </w:rPr>
        <w:t>Поставщики данных</w:t>
      </w:r>
    </w:p>
    <w:p w14:paraId="6FF71C23" w14:textId="77777777" w:rsidR="003A389C" w:rsidRPr="00A343D5" w:rsidRDefault="003A389C" w:rsidP="00A343D5">
      <w:pPr>
        <w:rPr>
          <w:rFonts w:cs="Times New Roman"/>
        </w:rPr>
      </w:pPr>
      <w:r w:rsidRPr="00A343D5">
        <w:rPr>
          <w:rFonts w:cs="Times New Roman"/>
        </w:rPr>
        <w:t xml:space="preserve">Источники информации о ценах многочисленны и перечислены для каждого ценового ряда в инструменте FPMA по ссылке </w:t>
      </w:r>
      <w:hyperlink r:id="rId9" w:anchor="/home" w:history="1">
        <w:r w:rsidRPr="00A343D5">
          <w:rPr>
            <w:rStyle w:val="ac"/>
            <w:rFonts w:cs="Times New Roman"/>
          </w:rPr>
          <w:t>https://fpma.apps.fao.org/giews/food-prices/tool/public/#/home</w:t>
        </w:r>
      </w:hyperlink>
      <w:r w:rsidRPr="00A343D5">
        <w:rPr>
          <w:rFonts w:cs="Times New Roman"/>
        </w:rPr>
        <w:t xml:space="preserve"> .</w:t>
      </w:r>
    </w:p>
    <w:p w14:paraId="75FF5BDB" w14:textId="77777777" w:rsidR="00504CD2" w:rsidRPr="00A343D5" w:rsidRDefault="003A389C" w:rsidP="00A343D5">
      <w:pPr>
        <w:rPr>
          <w:rFonts w:cs="Times New Roman"/>
        </w:rPr>
      </w:pPr>
      <w:r w:rsidRPr="00A343D5">
        <w:rPr>
          <w:rFonts w:cs="Times New Roman"/>
        </w:rPr>
        <w:t xml:space="preserve">Источником индексов цен на продовольствие является FAOSTAT </w:t>
      </w:r>
      <w:hyperlink r:id="rId10" w:anchor="data/CP" w:history="1">
        <w:r w:rsidRPr="00A343D5">
          <w:rPr>
            <w:rStyle w:val="ac"/>
            <w:rFonts w:cs="Times New Roman"/>
          </w:rPr>
          <w:t>http://www.fao.org/faostat/en/#data/CP</w:t>
        </w:r>
      </w:hyperlink>
      <w:r w:rsidRPr="00A343D5">
        <w:rPr>
          <w:rFonts w:cs="Times New Roman"/>
        </w:rPr>
        <w:t xml:space="preserve"> .</w:t>
      </w:r>
    </w:p>
    <w:p w14:paraId="6073C530" w14:textId="77777777" w:rsidR="000A229E" w:rsidRPr="00A343D5" w:rsidRDefault="000A229E" w:rsidP="00A343D5">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f</w:t>
      </w:r>
      <w:r w:rsidRPr="00A343D5">
        <w:rPr>
          <w:color w:val="auto"/>
          <w:sz w:val="24"/>
          <w:szCs w:val="24"/>
          <w:lang w:val="ru-RU"/>
        </w:rPr>
        <w:t xml:space="preserve">. </w:t>
      </w:r>
      <w:r w:rsidRPr="00A343D5">
        <w:rPr>
          <w:b/>
          <w:color w:val="auto"/>
          <w:sz w:val="24"/>
          <w:szCs w:val="24"/>
          <w:lang w:val="ru-RU"/>
        </w:rPr>
        <w:t>Составители данных</w:t>
      </w:r>
    </w:p>
    <w:p w14:paraId="54609A2D" w14:textId="77777777" w:rsidR="00B17F13" w:rsidRPr="00A343D5" w:rsidRDefault="00B17F13" w:rsidP="00A343D5">
      <w:pPr>
        <w:rPr>
          <w:rFonts w:cs="Times New Roman"/>
        </w:rPr>
      </w:pPr>
      <w:r w:rsidRPr="00A343D5">
        <w:rPr>
          <w:rFonts w:cs="Times New Roman"/>
        </w:rPr>
        <w:t>ФАО</w:t>
      </w:r>
    </w:p>
    <w:p w14:paraId="1907A517" w14:textId="77777777" w:rsidR="000A229E" w:rsidRPr="00A343D5" w:rsidRDefault="000A229E" w:rsidP="00A343D5">
      <w:pPr>
        <w:pStyle w:val="MHeader2"/>
        <w:spacing w:line="276" w:lineRule="auto"/>
        <w:rPr>
          <w:color w:val="auto"/>
          <w:sz w:val="24"/>
          <w:szCs w:val="24"/>
          <w:lang w:val="ru-RU"/>
        </w:rPr>
      </w:pPr>
      <w:r w:rsidRPr="00A343D5">
        <w:rPr>
          <w:color w:val="auto"/>
          <w:sz w:val="24"/>
          <w:szCs w:val="24"/>
          <w:lang w:val="ru-RU"/>
        </w:rPr>
        <w:lastRenderedPageBreak/>
        <w:t>3.</w:t>
      </w:r>
      <w:r w:rsidRPr="00A343D5">
        <w:rPr>
          <w:color w:val="auto"/>
          <w:sz w:val="24"/>
          <w:szCs w:val="24"/>
        </w:rPr>
        <w:t>g</w:t>
      </w:r>
      <w:r w:rsidRPr="00A343D5">
        <w:rPr>
          <w:color w:val="auto"/>
          <w:sz w:val="24"/>
          <w:szCs w:val="24"/>
          <w:lang w:val="ru-RU"/>
        </w:rPr>
        <w:t xml:space="preserve">. </w:t>
      </w:r>
      <w:r w:rsidRPr="00A343D5">
        <w:rPr>
          <w:b/>
          <w:color w:val="auto"/>
          <w:sz w:val="24"/>
          <w:szCs w:val="24"/>
          <w:lang w:val="ru-RU"/>
        </w:rPr>
        <w:t>Институциональный мандат</w:t>
      </w:r>
    </w:p>
    <w:p w14:paraId="555516AE" w14:textId="77777777" w:rsidR="00B17F13" w:rsidRPr="00A343D5" w:rsidRDefault="003A389C" w:rsidP="00A343D5">
      <w:pPr>
        <w:pBdr>
          <w:top w:val="nil"/>
          <w:left w:val="nil"/>
          <w:bottom w:val="nil"/>
          <w:right w:val="nil"/>
          <w:between w:val="nil"/>
          <w:bar w:val="nil"/>
        </w:pBdr>
        <w:spacing w:after="0"/>
        <w:rPr>
          <w:rFonts w:eastAsia="Times New Roman" w:cs="Times New Roman"/>
          <w:szCs w:val="24"/>
          <w:lang w:eastAsia="en-GB"/>
        </w:rPr>
      </w:pPr>
      <w:r w:rsidRPr="00A343D5">
        <w:rPr>
          <w:rFonts w:eastAsia="Times New Roman" w:cs="Times New Roman"/>
          <w:szCs w:val="24"/>
          <w:lang w:eastAsia="en-GB"/>
        </w:rPr>
        <w:t xml:space="preserve">Статья I Устава ФАО требует, чтобы Организация собирала, анализировала, интерпретировала и распространяла информацию, касающуюся питания, продовольствия и сельского хозяйства </w:t>
      </w:r>
      <w:hyperlink r:id="rId11" w:history="1">
        <w:r w:rsidRPr="00A343D5">
          <w:rPr>
            <w:rStyle w:val="ac"/>
            <w:rFonts w:eastAsia="Times New Roman" w:cs="Times New Roman"/>
            <w:szCs w:val="24"/>
            <w:lang w:eastAsia="en-GB"/>
          </w:rPr>
          <w:t>http://www.fao.org/3/K8024E/K8024E.pdf</w:t>
        </w:r>
      </w:hyperlink>
      <w:r w:rsidRPr="00A343D5">
        <w:rPr>
          <w:rFonts w:eastAsia="Times New Roman" w:cs="Times New Roman"/>
          <w:szCs w:val="24"/>
          <w:lang w:eastAsia="en-GB"/>
        </w:rPr>
        <w:t xml:space="preserve"> .</w:t>
      </w:r>
    </w:p>
    <w:p w14:paraId="3C53FB4F" w14:textId="77777777" w:rsidR="002E15F9" w:rsidRPr="00A343D5" w:rsidRDefault="002E15F9" w:rsidP="00A343D5">
      <w:pPr>
        <w:pStyle w:val="MHeader"/>
        <w:rPr>
          <w:b/>
          <w:color w:val="auto"/>
          <w:sz w:val="24"/>
          <w:szCs w:val="24"/>
          <w:lang w:val="ru-RU"/>
        </w:rPr>
      </w:pPr>
      <w:r w:rsidRPr="00A343D5">
        <w:rPr>
          <w:b/>
          <w:color w:val="auto"/>
          <w:sz w:val="24"/>
          <w:szCs w:val="24"/>
          <w:lang w:val="ru-RU"/>
        </w:rPr>
        <w:t>4. Иные методологические соображения</w:t>
      </w:r>
    </w:p>
    <w:p w14:paraId="7CDCE754" w14:textId="77777777"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a</w:t>
      </w:r>
      <w:r w:rsidRPr="00A343D5">
        <w:rPr>
          <w:color w:val="auto"/>
          <w:sz w:val="24"/>
          <w:szCs w:val="24"/>
          <w:lang w:val="ru-RU"/>
        </w:rPr>
        <w:t xml:space="preserve">. </w:t>
      </w:r>
      <w:r w:rsidR="00CA1CB1" w:rsidRPr="00A343D5">
        <w:rPr>
          <w:b/>
          <w:color w:val="auto"/>
          <w:sz w:val="24"/>
          <w:szCs w:val="24"/>
          <w:lang w:val="ru-RU"/>
        </w:rPr>
        <w:t>Обоснование</w:t>
      </w:r>
    </w:p>
    <w:p w14:paraId="41A3755B" w14:textId="77777777" w:rsidR="0094718C" w:rsidRPr="00A343D5" w:rsidRDefault="0094718C" w:rsidP="00A343D5">
      <w:pPr>
        <w:rPr>
          <w:rFonts w:cs="Times New Roman"/>
        </w:rPr>
      </w:pPr>
      <w:r w:rsidRPr="00A343D5">
        <w:rPr>
          <w:rFonts w:cs="Times New Roman"/>
        </w:rPr>
        <w:t xml:space="preserve">Пороговые значения для </w:t>
      </w:r>
      <w:r w:rsidRPr="00A343D5">
        <w:rPr>
          <w:rFonts w:cs="Times New Roman"/>
          <w:color w:val="262626" w:themeColor="text1" w:themeTint="D9"/>
          <w:sz w:val="21"/>
          <w:szCs w:val="21"/>
        </w:rPr>
        <w:t xml:space="preserve"> </w:t>
      </w:r>
      <m:oMath>
        <m:sSub>
          <m:sSubPr>
            <m:ctrlPr>
              <w:rPr>
                <w:rFonts w:ascii="Cambria Math" w:hAnsi="Cambria Math" w:cs="Times New Roman"/>
                <w:i/>
                <w:iCs/>
                <w:color w:val="262626" w:themeColor="text1" w:themeTint="D9"/>
                <w:sz w:val="21"/>
                <w:szCs w:val="21"/>
              </w:rPr>
            </m:ctrlPr>
          </m:sSubPr>
          <m:e>
            <m:r>
              <w:rPr>
                <w:rFonts w:ascii="Cambria Math" w:hAnsi="Cambria Math" w:cs="Times New Roman"/>
                <w:color w:val="262626" w:themeColor="text1" w:themeTint="D9"/>
                <w:sz w:val="21"/>
                <w:szCs w:val="21"/>
                <w:lang w:val="en-US"/>
              </w:rPr>
              <m:t>IFPA</m:t>
            </m:r>
          </m:e>
          <m:sub>
            <m:r>
              <w:rPr>
                <w:rFonts w:ascii="Cambria Math" w:hAnsi="Cambria Math" w:cs="Times New Roman"/>
                <w:color w:val="262626" w:themeColor="text1" w:themeTint="D9"/>
                <w:sz w:val="21"/>
                <w:szCs w:val="21"/>
                <w:lang w:val="en-US"/>
              </w:rPr>
              <m:t>y</m:t>
            </m:r>
          </m:sub>
        </m:sSub>
      </m:oMath>
      <w:r w:rsidRPr="00A343D5">
        <w:rPr>
          <w:rFonts w:cs="Times New Roman"/>
          <w:color w:val="262626" w:themeColor="text1" w:themeTint="D9"/>
          <w:sz w:val="21"/>
          <w:szCs w:val="21"/>
        </w:rPr>
        <w:t xml:space="preserve"> </w:t>
      </w:r>
      <w:r w:rsidRPr="00A343D5">
        <w:rPr>
          <w:rFonts w:cs="Times New Roman"/>
        </w:rPr>
        <w:t>выражаются как нормализованная разница совокупного темпа роста цен от их исторического среднего значения за заранее определенный период времени. Было определено три диапазона: 1) разница менее чем на половину стандартного отклонения от среднего считается нормальным; 2) разница в половину, но менее одного стандартного отклонения считается умеренно высокой; 3) отклонение от исторического среднего, которое по крайней мере на одно стандартное отклонение больше среднего, считается аномально высоким.</w:t>
      </w:r>
    </w:p>
    <w:p w14:paraId="36D9F701" w14:textId="77777777" w:rsidR="0094718C" w:rsidRPr="00A343D5" w:rsidRDefault="0081039C" w:rsidP="00A343D5">
      <w:pPr>
        <w:pStyle w:val="af8"/>
        <w:spacing w:line="276" w:lineRule="auto"/>
        <w:ind w:left="0"/>
        <w:jc w:val="both"/>
        <w:rPr>
          <w:rFonts w:ascii="Times New Roman" w:hAnsi="Times New Roman" w:cs="Times New Roman"/>
          <w:color w:val="262626" w:themeColor="text1" w:themeTint="D9"/>
          <w:sz w:val="21"/>
          <w:szCs w:val="21"/>
        </w:rPr>
      </w:pPr>
      <m:oMathPara>
        <m:oMath>
          <m:eqArr>
            <m:eqArrPr>
              <m:ctrlPr>
                <w:rPr>
                  <w:rFonts w:ascii="Cambria Math" w:hAnsi="Cambria Math" w:cs="Times New Roman"/>
                  <w:i/>
                  <w:iCs/>
                  <w:color w:val="262626" w:themeColor="text1" w:themeTint="D9"/>
                  <w:sz w:val="21"/>
                  <w:szCs w:val="21"/>
                </w:rPr>
              </m:ctrlPr>
            </m:eqArrPr>
            <m:e>
              <m:r>
                <w:rPr>
                  <w:rFonts w:ascii="Cambria Math" w:hAnsi="Cambria Math" w:cs="Times New Roman"/>
                  <w:color w:val="262626" w:themeColor="text1" w:themeTint="D9"/>
                  <w:sz w:val="21"/>
                  <w:szCs w:val="21"/>
                  <w:lang w:val="en-US"/>
                </w:rPr>
                <m:t>0.5≤</m:t>
              </m:r>
              <m:sSub>
                <m:sSubPr>
                  <m:ctrlPr>
                    <w:rPr>
                      <w:rFonts w:ascii="Cambria Math" w:hAnsi="Cambria Math" w:cs="Times New Roman"/>
                      <w:i/>
                      <w:iCs/>
                      <w:color w:val="262626" w:themeColor="text1" w:themeTint="D9"/>
                      <w:sz w:val="21"/>
                      <w:szCs w:val="21"/>
                    </w:rPr>
                  </m:ctrlPr>
                </m:sSubPr>
                <m:e>
                  <m:r>
                    <w:rPr>
                      <w:rFonts w:ascii="Cambria Math" w:hAnsi="Cambria Math" w:cs="Times New Roman"/>
                      <w:color w:val="262626" w:themeColor="text1" w:themeTint="D9"/>
                      <w:sz w:val="21"/>
                      <w:szCs w:val="21"/>
                      <w:lang w:val="en-US"/>
                    </w:rPr>
                    <m:t>IFPA</m:t>
                  </m:r>
                </m:e>
                <m:sub>
                  <m:r>
                    <w:rPr>
                      <w:rFonts w:ascii="Cambria Math" w:hAnsi="Cambria Math" w:cs="Times New Roman"/>
                      <w:color w:val="262626" w:themeColor="text1" w:themeTint="D9"/>
                      <w:sz w:val="21"/>
                      <w:szCs w:val="21"/>
                      <w:lang w:val="en-US"/>
                    </w:rPr>
                    <m:t>y</m:t>
                  </m:r>
                </m:sub>
              </m:sSub>
              <m:r>
                <w:rPr>
                  <w:rFonts w:ascii="Cambria Math" w:hAnsi="Cambria Math" w:cs="Times New Roman"/>
                  <w:color w:val="262626" w:themeColor="text1" w:themeTint="D9"/>
                  <w:sz w:val="21"/>
                  <w:szCs w:val="21"/>
                  <w:lang w:val="en-US"/>
                </w:rPr>
                <m:t xml:space="preserve">&lt;1     </m:t>
              </m:r>
              <m:r>
                <w:rPr>
                  <w:rFonts w:ascii="Cambria Math" w:hAnsi="Cambria Math" w:cs="Times New Roman"/>
                  <w:color w:val="262626" w:themeColor="text1" w:themeTint="D9"/>
                  <w:sz w:val="21"/>
                  <w:szCs w:val="21"/>
                  <w:lang w:val="en-US"/>
                </w:rPr>
                <m:t>Moderately</m:t>
              </m:r>
              <m:r>
                <w:rPr>
                  <w:rFonts w:ascii="Cambria Math" w:hAnsi="Cambria Math" w:cs="Times New Roman"/>
                  <w:color w:val="262626" w:themeColor="text1" w:themeTint="D9"/>
                  <w:sz w:val="21"/>
                  <w:szCs w:val="21"/>
                  <w:lang w:val="en-US"/>
                </w:rPr>
                <m:t xml:space="preserve"> </m:t>
              </m:r>
              <m:r>
                <w:rPr>
                  <w:rFonts w:ascii="Cambria Math" w:hAnsi="Cambria Math" w:cs="Times New Roman"/>
                  <w:color w:val="262626" w:themeColor="text1" w:themeTint="D9"/>
                  <w:sz w:val="21"/>
                  <w:szCs w:val="21"/>
                  <w:lang w:val="en-US"/>
                </w:rPr>
                <m:t>Hig</m:t>
              </m:r>
              <m:r>
                <w:rPr>
                  <w:rFonts w:ascii="Cambria Math" w:hAnsi="Cambria Math" w:cs="Times New Roman"/>
                  <w:color w:val="262626" w:themeColor="text1" w:themeTint="D9"/>
                  <w:sz w:val="21"/>
                  <w:szCs w:val="21"/>
                  <w:lang w:val="en-US"/>
                </w:rPr>
                <m:t>h</m:t>
              </m:r>
            </m:e>
            <m:e>
              <m:r>
                <w:rPr>
                  <w:rFonts w:ascii="Cambria Math" w:hAnsi="Cambria Math" w:cs="Times New Roman"/>
                  <w:color w:val="262626" w:themeColor="text1" w:themeTint="D9"/>
                  <w:sz w:val="21"/>
                  <w:szCs w:val="21"/>
                  <w:lang w:val="en-US"/>
                </w:rPr>
                <m:t xml:space="preserve">      </m:t>
              </m:r>
              <m:sSub>
                <m:sSubPr>
                  <m:ctrlPr>
                    <w:rPr>
                      <w:rFonts w:ascii="Cambria Math" w:hAnsi="Cambria Math" w:cs="Times New Roman"/>
                      <w:i/>
                      <w:iCs/>
                      <w:color w:val="262626" w:themeColor="text1" w:themeTint="D9"/>
                      <w:sz w:val="21"/>
                      <w:szCs w:val="21"/>
                    </w:rPr>
                  </m:ctrlPr>
                </m:sSubPr>
                <m:e>
                  <m:r>
                    <w:rPr>
                      <w:rFonts w:ascii="Cambria Math" w:hAnsi="Cambria Math" w:cs="Times New Roman"/>
                      <w:color w:val="262626" w:themeColor="text1" w:themeTint="D9"/>
                      <w:sz w:val="21"/>
                      <w:szCs w:val="21"/>
                      <w:lang w:val="en-US"/>
                    </w:rPr>
                    <m:t>IFPA</m:t>
                  </m:r>
                </m:e>
                <m:sub>
                  <m:r>
                    <w:rPr>
                      <w:rFonts w:ascii="Cambria Math" w:hAnsi="Cambria Math" w:cs="Times New Roman"/>
                      <w:color w:val="262626" w:themeColor="text1" w:themeTint="D9"/>
                      <w:sz w:val="21"/>
                      <w:szCs w:val="21"/>
                      <w:lang w:val="en-US"/>
                    </w:rPr>
                    <m:t>y</m:t>
                  </m:r>
                </m:sub>
              </m:sSub>
              <m:r>
                <w:rPr>
                  <w:rFonts w:ascii="Cambria Math" w:hAnsi="Cambria Math" w:cs="Times New Roman"/>
                  <w:color w:val="262626" w:themeColor="text1" w:themeTint="D9"/>
                  <w:sz w:val="21"/>
                  <w:szCs w:val="21"/>
                  <w:lang w:val="en-US"/>
                </w:rPr>
                <m:t xml:space="preserve">≥1    </m:t>
              </m:r>
              <m:r>
                <w:rPr>
                  <w:rFonts w:ascii="Cambria Math" w:hAnsi="Cambria Math" w:cs="Times New Roman"/>
                  <w:color w:val="262626" w:themeColor="text1" w:themeTint="D9"/>
                  <w:sz w:val="21"/>
                  <w:szCs w:val="21"/>
                  <w:lang w:val="en-US"/>
                </w:rPr>
                <m:t>Abnormally</m:t>
              </m:r>
              <m:r>
                <w:rPr>
                  <w:rFonts w:ascii="Cambria Math" w:hAnsi="Cambria Math" w:cs="Times New Roman"/>
                  <w:color w:val="262626" w:themeColor="text1" w:themeTint="D9"/>
                  <w:sz w:val="21"/>
                  <w:szCs w:val="21"/>
                  <w:lang w:val="en-US"/>
                </w:rPr>
                <m:t xml:space="preserve"> </m:t>
              </m:r>
              <m:r>
                <w:rPr>
                  <w:rFonts w:ascii="Cambria Math" w:hAnsi="Cambria Math" w:cs="Times New Roman"/>
                  <w:color w:val="262626" w:themeColor="text1" w:themeTint="D9"/>
                  <w:sz w:val="21"/>
                  <w:szCs w:val="21"/>
                  <w:lang w:val="en-US"/>
                </w:rPr>
                <m:t>Hig</m:t>
              </m:r>
              <m:r>
                <w:rPr>
                  <w:rFonts w:ascii="Cambria Math" w:hAnsi="Cambria Math" w:cs="Times New Roman"/>
                  <w:color w:val="262626" w:themeColor="text1" w:themeTint="D9"/>
                  <w:sz w:val="21"/>
                  <w:szCs w:val="21"/>
                  <w:lang w:val="en-US"/>
                </w:rPr>
                <m:t>h</m:t>
              </m:r>
            </m:e>
            <m:e>
              <m:r>
                <w:rPr>
                  <w:rFonts w:ascii="Cambria Math" w:hAnsi="Cambria Math" w:cs="Times New Roman"/>
                  <w:color w:val="262626" w:themeColor="text1" w:themeTint="D9"/>
                  <w:sz w:val="21"/>
                  <w:szCs w:val="21"/>
                  <w:lang w:val="en-US"/>
                </w:rPr>
                <m:t>-</m:t>
              </m:r>
              <m:r>
                <w:rPr>
                  <w:rFonts w:ascii="Cambria Math" w:hAnsi="Cambria Math" w:cs="Times New Roman"/>
                  <w:color w:val="262626" w:themeColor="text1" w:themeTint="D9"/>
                  <w:sz w:val="21"/>
                  <w:szCs w:val="21"/>
                  <w:lang w:val="en-US"/>
                </w:rPr>
                <m:t>0.5≤</m:t>
              </m:r>
              <m:sSub>
                <m:sSubPr>
                  <m:ctrlPr>
                    <w:rPr>
                      <w:rFonts w:ascii="Cambria Math" w:hAnsi="Cambria Math" w:cs="Times New Roman"/>
                      <w:i/>
                      <w:iCs/>
                      <w:color w:val="262626" w:themeColor="text1" w:themeTint="D9"/>
                      <w:sz w:val="21"/>
                      <w:szCs w:val="21"/>
                    </w:rPr>
                  </m:ctrlPr>
                </m:sSubPr>
                <m:e>
                  <m:r>
                    <w:rPr>
                      <w:rFonts w:ascii="Cambria Math" w:hAnsi="Cambria Math" w:cs="Times New Roman"/>
                      <w:color w:val="262626" w:themeColor="text1" w:themeTint="D9"/>
                      <w:sz w:val="21"/>
                      <w:szCs w:val="21"/>
                      <w:lang w:val="en-US"/>
                    </w:rPr>
                    <m:t>IFPA</m:t>
                  </m:r>
                </m:e>
                <m:sub>
                  <m:r>
                    <w:rPr>
                      <w:rFonts w:ascii="Cambria Math" w:hAnsi="Cambria Math" w:cs="Times New Roman"/>
                      <w:color w:val="262626" w:themeColor="text1" w:themeTint="D9"/>
                      <w:sz w:val="21"/>
                      <w:szCs w:val="21"/>
                      <w:lang w:val="en-US"/>
                    </w:rPr>
                    <m:t>y</m:t>
                  </m:r>
                </m:sub>
              </m:sSub>
              <m:r>
                <w:rPr>
                  <w:rFonts w:ascii="Cambria Math" w:hAnsi="Cambria Math" w:cs="Times New Roman"/>
                  <w:color w:val="262626" w:themeColor="text1" w:themeTint="D9"/>
                  <w:sz w:val="21"/>
                  <w:szCs w:val="21"/>
                  <w:lang w:val="en-US"/>
                </w:rPr>
                <m:t xml:space="preserve">&lt;0.5           </m:t>
              </m:r>
              <m:r>
                <w:rPr>
                  <w:rFonts w:ascii="Cambria Math" w:hAnsi="Cambria Math" w:cs="Times New Roman"/>
                  <w:color w:val="262626" w:themeColor="text1" w:themeTint="D9"/>
                  <w:sz w:val="21"/>
                  <w:szCs w:val="21"/>
                  <w:lang w:val="en-US"/>
                </w:rPr>
                <m:t>Normal</m:t>
              </m:r>
              <m:r>
                <w:rPr>
                  <w:rFonts w:ascii="Cambria Math" w:hAnsi="Cambria Math" w:cs="Times New Roman"/>
                  <w:color w:val="262626" w:themeColor="text1" w:themeTint="D9"/>
                  <w:sz w:val="21"/>
                  <w:szCs w:val="21"/>
                  <w:lang w:val="en-US"/>
                </w:rPr>
                <m:t xml:space="preserve"> </m:t>
              </m:r>
            </m:e>
          </m:eqArr>
        </m:oMath>
      </m:oMathPara>
    </w:p>
    <w:p w14:paraId="62E5BE1F" w14:textId="77777777" w:rsidR="0094718C" w:rsidRPr="00A343D5" w:rsidRDefault="0094718C" w:rsidP="00A343D5">
      <w:pPr>
        <w:rPr>
          <w:rFonts w:cs="Times New Roman"/>
        </w:rPr>
      </w:pPr>
    </w:p>
    <w:p w14:paraId="22BBA685" w14:textId="77777777" w:rsidR="0094718C" w:rsidRPr="00A343D5" w:rsidRDefault="0094718C" w:rsidP="00A343D5">
      <w:pPr>
        <w:rPr>
          <w:rFonts w:cs="Times New Roman"/>
        </w:rPr>
      </w:pPr>
      <w:r w:rsidRPr="00A343D5">
        <w:rPr>
          <w:rFonts w:cs="Times New Roman"/>
        </w:rPr>
        <w:t>Мы используем одно стандартное отклонение в качестве соответствующего порога с целью минимизировать вероятность пропуска значительного события на рынке. События, которые отклоняются более чем на одно стандартное отклонение от их исторического распределения, имеют низкую вероятность возникновения и, следовательно, их легче идентифицировать как аномально высокие цены.</w:t>
      </w:r>
    </w:p>
    <w:p w14:paraId="13F00E71" w14:textId="77777777"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b</w:t>
      </w:r>
      <w:r w:rsidRPr="00A343D5">
        <w:rPr>
          <w:color w:val="auto"/>
          <w:sz w:val="24"/>
          <w:szCs w:val="24"/>
          <w:lang w:val="ru-RU"/>
        </w:rPr>
        <w:t xml:space="preserve">. </w:t>
      </w:r>
      <w:r w:rsidR="00CA1CB1" w:rsidRPr="00A343D5">
        <w:rPr>
          <w:b/>
          <w:color w:val="auto"/>
          <w:sz w:val="24"/>
          <w:szCs w:val="24"/>
          <w:lang w:val="ru-RU"/>
        </w:rPr>
        <w:t>Комментарии и ограничения</w:t>
      </w:r>
    </w:p>
    <w:p w14:paraId="7B66BB85" w14:textId="77777777" w:rsidR="0094718C" w:rsidRPr="00A343D5" w:rsidRDefault="0094718C" w:rsidP="00A343D5">
      <w:pPr>
        <w:rPr>
          <w:rFonts w:cs="Times New Roman"/>
        </w:rPr>
      </w:pPr>
      <w:r w:rsidRPr="00A343D5">
        <w:rPr>
          <w:rFonts w:cs="Times New Roman"/>
        </w:rPr>
        <w:t xml:space="preserve">Уместным будет подчеркнуть, что </w:t>
      </w:r>
      <w:r w:rsidR="002525C1">
        <w:rPr>
          <w:rFonts w:cs="Times New Roman"/>
        </w:rPr>
        <w:t>данный</w:t>
      </w:r>
      <w:r w:rsidRPr="00A343D5">
        <w:rPr>
          <w:rFonts w:cs="Times New Roman"/>
        </w:rPr>
        <w:t xml:space="preserve"> индикатор - всего лишь руководство к пониманию динамики рынка. Таким образом, нельзя полагаться на него как на единственный элемент для определения того, является ли цена на продовольствие на конкретном рынке в данный момент аномально высокой или низкой из-за прямого воздействия местной политики. Результаты должны быть сопоставлены с другой доступной информацией об основных рыночных показателях, макроэкономическом контексте и внешних потрясениях. Основная проблема при внедрении индикатора - доступность и качество данных. Для расчета показателя требуется непрерывный ежемесячный ценовой ряд (т. </w:t>
      </w:r>
      <w:r w:rsidR="00E834AD" w:rsidRPr="00A343D5">
        <w:rPr>
          <w:rFonts w:cs="Times New Roman"/>
        </w:rPr>
        <w:t>е</w:t>
      </w:r>
      <w:r w:rsidRPr="00A343D5">
        <w:rPr>
          <w:rFonts w:cs="Times New Roman"/>
        </w:rPr>
        <w:t xml:space="preserve">. </w:t>
      </w:r>
      <w:r w:rsidR="00E834AD" w:rsidRPr="00A343D5">
        <w:rPr>
          <w:rFonts w:cs="Times New Roman"/>
        </w:rPr>
        <w:t>е</w:t>
      </w:r>
      <w:r w:rsidRPr="00A343D5">
        <w:rPr>
          <w:rFonts w:cs="Times New Roman"/>
        </w:rPr>
        <w:t>сли данные за более чем 3 последовательных месяца отсутствуют, ряд может быть отброшен) по крайней мере за 5 лет, включая анализируемый год и 4 предшествующих года для получения средн</w:t>
      </w:r>
      <w:r w:rsidR="00E834AD" w:rsidRPr="00A343D5">
        <w:rPr>
          <w:rFonts w:cs="Times New Roman"/>
        </w:rPr>
        <w:t>его и стандартного</w:t>
      </w:r>
      <w:r w:rsidRPr="00A343D5">
        <w:rPr>
          <w:rFonts w:cs="Times New Roman"/>
        </w:rPr>
        <w:t xml:space="preserve"> отклонени</w:t>
      </w:r>
      <w:r w:rsidR="00E834AD" w:rsidRPr="00A343D5">
        <w:rPr>
          <w:rFonts w:cs="Times New Roman"/>
        </w:rPr>
        <w:t>я</w:t>
      </w:r>
      <w:r w:rsidRPr="00A343D5">
        <w:rPr>
          <w:rFonts w:cs="Times New Roman"/>
        </w:rPr>
        <w:t xml:space="preserve">. Наконец, показатель рассчитывается на основе реальных цен, чтобы </w:t>
      </w:r>
      <w:r w:rsidR="00E834AD" w:rsidRPr="00A343D5">
        <w:rPr>
          <w:rFonts w:cs="Times New Roman"/>
        </w:rPr>
        <w:t>исключить</w:t>
      </w:r>
      <w:r w:rsidRPr="00A343D5">
        <w:rPr>
          <w:rFonts w:cs="Times New Roman"/>
        </w:rPr>
        <w:t xml:space="preserve"> влияние инфляции и сравнить цены в постоянном денежном выражении с течением времени. Однако, если доля продовольственных товаров в ИПЦ высока, это вызывает смещение реальных цен на продовольствие в сторону понижения, т. </w:t>
      </w:r>
      <w:r w:rsidR="00E834AD" w:rsidRPr="00A343D5">
        <w:rPr>
          <w:rFonts w:cs="Times New Roman"/>
        </w:rPr>
        <w:t>е</w:t>
      </w:r>
      <w:r w:rsidRPr="00A343D5">
        <w:rPr>
          <w:rFonts w:cs="Times New Roman"/>
        </w:rPr>
        <w:t xml:space="preserve">. </w:t>
      </w:r>
      <w:r w:rsidR="00E834AD" w:rsidRPr="00A343D5">
        <w:rPr>
          <w:rFonts w:cs="Times New Roman"/>
        </w:rPr>
        <w:t>н</w:t>
      </w:r>
      <w:r w:rsidRPr="00A343D5">
        <w:rPr>
          <w:rFonts w:cs="Times New Roman"/>
        </w:rPr>
        <w:t>едооценивает степень повышения цен (можно использовать номинальные цены или ИПЦ на непродовольственные товары).</w:t>
      </w:r>
    </w:p>
    <w:p w14:paraId="2F34DF8B" w14:textId="77777777" w:rsidR="002E15F9" w:rsidRPr="000F1E8E" w:rsidRDefault="002E15F9" w:rsidP="00A343D5">
      <w:pPr>
        <w:pStyle w:val="MHeader2"/>
        <w:spacing w:line="276" w:lineRule="auto"/>
        <w:rPr>
          <w:color w:val="auto"/>
          <w:sz w:val="24"/>
          <w:szCs w:val="24"/>
          <w:lang w:val="ru-RU"/>
        </w:rPr>
      </w:pPr>
      <w:r w:rsidRPr="000F1E8E">
        <w:rPr>
          <w:color w:val="auto"/>
          <w:sz w:val="24"/>
          <w:szCs w:val="24"/>
          <w:lang w:val="ru-RU"/>
        </w:rPr>
        <w:lastRenderedPageBreak/>
        <w:t>4.</w:t>
      </w:r>
      <w:r w:rsidRPr="00A343D5">
        <w:rPr>
          <w:color w:val="auto"/>
          <w:sz w:val="24"/>
          <w:szCs w:val="24"/>
        </w:rPr>
        <w:t>c</w:t>
      </w:r>
      <w:r w:rsidRPr="000F1E8E">
        <w:rPr>
          <w:color w:val="auto"/>
          <w:sz w:val="24"/>
          <w:szCs w:val="24"/>
          <w:lang w:val="ru-RU"/>
        </w:rPr>
        <w:t xml:space="preserve">. </w:t>
      </w:r>
      <w:r w:rsidR="00CA1CB1" w:rsidRPr="00A343D5">
        <w:rPr>
          <w:b/>
          <w:color w:val="auto"/>
          <w:sz w:val="24"/>
          <w:szCs w:val="24"/>
          <w:lang w:val="ru-RU"/>
        </w:rPr>
        <w:t>Метод</w:t>
      </w:r>
      <w:r w:rsidR="00CA1CB1" w:rsidRPr="000F1E8E">
        <w:rPr>
          <w:b/>
          <w:color w:val="auto"/>
          <w:sz w:val="24"/>
          <w:szCs w:val="24"/>
          <w:lang w:val="ru-RU"/>
        </w:rPr>
        <w:t xml:space="preserve"> </w:t>
      </w:r>
      <w:r w:rsidR="00CA1CB1" w:rsidRPr="00A343D5">
        <w:rPr>
          <w:b/>
          <w:color w:val="auto"/>
          <w:sz w:val="24"/>
          <w:szCs w:val="24"/>
          <w:lang w:val="ru-RU"/>
        </w:rPr>
        <w:t>расчета</w:t>
      </w:r>
      <w:r w:rsidR="00CA1CB1" w:rsidRPr="000F1E8E">
        <w:rPr>
          <w:color w:val="auto"/>
          <w:sz w:val="24"/>
          <w:szCs w:val="24"/>
          <w:lang w:val="ru-RU"/>
        </w:rPr>
        <w:t xml:space="preserve"> </w:t>
      </w:r>
    </w:p>
    <w:p w14:paraId="1A70A5A6" w14:textId="77777777" w:rsidR="00E834AD" w:rsidRPr="002525C1" w:rsidRDefault="00E834AD" w:rsidP="00A343D5">
      <w:pPr>
        <w:pStyle w:val="af8"/>
        <w:spacing w:line="276" w:lineRule="auto"/>
        <w:ind w:left="0"/>
        <w:jc w:val="both"/>
        <w:rPr>
          <w:rFonts w:ascii="Times New Roman" w:hAnsi="Times New Roman" w:cs="Times New Roman"/>
          <w:iCs/>
          <w:sz w:val="24"/>
          <w:szCs w:val="21"/>
          <w:lang w:val="ru-RU"/>
        </w:rPr>
      </w:pPr>
      <w:r w:rsidRPr="002525C1">
        <w:rPr>
          <w:rFonts w:ascii="Times New Roman" w:hAnsi="Times New Roman" w:cs="Times New Roman"/>
          <w:sz w:val="24"/>
          <w:szCs w:val="21"/>
          <w:lang w:val="ru-RU"/>
        </w:rPr>
        <w:t xml:space="preserve">Математический </w:t>
      </w:r>
      <w:r w:rsidRPr="002525C1">
        <w:rPr>
          <w:rFonts w:ascii="Times New Roman" w:hAnsi="Times New Roman" w:cs="Times New Roman"/>
          <w:sz w:val="24"/>
          <w:szCs w:val="21"/>
          <w:lang w:val="en-US"/>
        </w:rPr>
        <w:t>IFPA</w:t>
      </w:r>
      <w:r w:rsidRPr="002525C1">
        <w:rPr>
          <w:rFonts w:ascii="Times New Roman" w:hAnsi="Times New Roman" w:cs="Times New Roman"/>
          <w:sz w:val="24"/>
          <w:szCs w:val="21"/>
          <w:lang w:val="ru-RU"/>
        </w:rPr>
        <w:t xml:space="preserve"> для конкретного года </w:t>
      </w:r>
      <m:oMath>
        <m:r>
          <w:rPr>
            <w:rFonts w:ascii="Cambria Math" w:hAnsi="Cambria Math" w:cs="Times New Roman"/>
            <w:sz w:val="24"/>
            <w:szCs w:val="21"/>
            <w:lang w:val="en-US"/>
          </w:rPr>
          <m:t>y</m:t>
        </m:r>
      </m:oMath>
      <w:r w:rsidRPr="002525C1">
        <w:rPr>
          <w:rFonts w:ascii="Times New Roman" w:hAnsi="Times New Roman" w:cs="Times New Roman"/>
          <w:sz w:val="24"/>
          <w:szCs w:val="21"/>
          <w:lang w:val="ru-RU"/>
        </w:rPr>
        <w:t xml:space="preserve"> в месяце </w:t>
      </w:r>
      <m:oMath>
        <m:r>
          <w:rPr>
            <w:rFonts w:ascii="Cambria Math" w:hAnsi="Cambria Math" w:cs="Times New Roman"/>
            <w:sz w:val="24"/>
            <w:szCs w:val="21"/>
            <w:lang w:val="en-US"/>
          </w:rPr>
          <m:t>t</m:t>
        </m:r>
        <m:r>
          <w:rPr>
            <w:rFonts w:ascii="Cambria Math" w:hAnsi="Cambria Math" w:cs="Times New Roman"/>
            <w:sz w:val="24"/>
            <w:szCs w:val="21"/>
            <w:lang w:val="ru-RU"/>
          </w:rPr>
          <m:t xml:space="preserve"> </m:t>
        </m:r>
      </m:oMath>
      <w:r w:rsidRPr="002525C1">
        <w:rPr>
          <w:rFonts w:ascii="Times New Roman" w:hAnsi="Times New Roman" w:cs="Times New Roman"/>
          <w:sz w:val="24"/>
          <w:szCs w:val="21"/>
          <w:lang w:val="ru-RU"/>
        </w:rPr>
        <w:t xml:space="preserve"> рассчитывается как взвешенная сумма квартального показателя аномалий цен на продовольствие </w:t>
      </w:r>
      <m:oMath>
        <m:sSubSup>
          <m:sSubSupPr>
            <m:ctrlPr>
              <w:rPr>
                <w:rFonts w:ascii="Cambria Math" w:hAnsi="Cambria Math" w:cs="Times New Roman"/>
                <w:i/>
                <w:iCs/>
                <w:sz w:val="24"/>
                <w:szCs w:val="21"/>
              </w:rPr>
            </m:ctrlPr>
          </m:sSubSupPr>
          <m:e>
            <m:r>
              <w:rPr>
                <w:rFonts w:ascii="Cambria Math" w:hAnsi="Cambria Math" w:cs="Times New Roman"/>
                <w:sz w:val="24"/>
                <w:szCs w:val="21"/>
                <w:lang w:val="ru-RU"/>
              </w:rPr>
              <m:t>(</m:t>
            </m:r>
            <m:r>
              <w:rPr>
                <w:rFonts w:ascii="Cambria Math" w:hAnsi="Cambria Math" w:cs="Times New Roman"/>
                <w:sz w:val="24"/>
                <w:szCs w:val="21"/>
                <w:lang w:val="en-US"/>
              </w:rPr>
              <m:t>QIFPA</m:t>
            </m:r>
          </m:e>
          <m:sub>
            <m:r>
              <w:rPr>
                <w:rFonts w:ascii="Cambria Math" w:hAnsi="Cambria Math" w:cs="Times New Roman"/>
                <w:sz w:val="24"/>
                <w:szCs w:val="21"/>
                <w:lang w:val="en-US"/>
              </w:rPr>
              <m:t>yt</m:t>
            </m:r>
          </m:sub>
          <m:sup/>
        </m:sSubSup>
      </m:oMath>
      <w:r w:rsidRPr="002525C1">
        <w:rPr>
          <w:rFonts w:ascii="Times New Roman" w:hAnsi="Times New Roman" w:cs="Times New Roman"/>
          <w:iCs/>
          <w:sz w:val="24"/>
          <w:szCs w:val="21"/>
          <w:lang w:val="ru-RU"/>
        </w:rPr>
        <w:t>) и годового показателя аномалий цен на продовольствие</w:t>
      </w:r>
      <m:oMath>
        <m:sSubSup>
          <m:sSubSupPr>
            <m:ctrlPr>
              <w:rPr>
                <w:rFonts w:ascii="Cambria Math" w:hAnsi="Cambria Math" w:cs="Times New Roman"/>
                <w:i/>
                <w:iCs/>
                <w:sz w:val="24"/>
                <w:szCs w:val="21"/>
              </w:rPr>
            </m:ctrlPr>
          </m:sSubSupPr>
          <m:e>
            <m:r>
              <w:rPr>
                <w:rFonts w:ascii="Cambria Math" w:hAnsi="Cambria Math" w:cs="Times New Roman"/>
                <w:sz w:val="24"/>
                <w:szCs w:val="21"/>
                <w:lang w:val="ru-RU"/>
              </w:rPr>
              <m:t>(</m:t>
            </m:r>
            <m:r>
              <w:rPr>
                <w:rFonts w:ascii="Cambria Math" w:hAnsi="Cambria Math" w:cs="Times New Roman"/>
                <w:sz w:val="24"/>
                <w:szCs w:val="21"/>
                <w:lang w:val="en-US"/>
              </w:rPr>
              <m:t>AIFPA</m:t>
            </m:r>
          </m:e>
          <m:sub>
            <m:r>
              <w:rPr>
                <w:rFonts w:ascii="Cambria Math" w:hAnsi="Cambria Math" w:cs="Times New Roman"/>
                <w:sz w:val="24"/>
                <w:szCs w:val="21"/>
                <w:lang w:val="en-US"/>
              </w:rPr>
              <m:t>yt</m:t>
            </m:r>
          </m:sub>
          <m:sup/>
        </m:sSubSup>
        <m:r>
          <w:rPr>
            <w:rFonts w:ascii="Cambria Math" w:hAnsi="Cambria Math" w:cs="Times New Roman"/>
            <w:sz w:val="24"/>
            <w:szCs w:val="21"/>
            <w:lang w:val="ru-RU"/>
          </w:rPr>
          <m:t>)</m:t>
        </m:r>
      </m:oMath>
      <w:r w:rsidRPr="002525C1">
        <w:rPr>
          <w:rFonts w:ascii="Times New Roman" w:hAnsi="Times New Roman" w:cs="Times New Roman"/>
          <w:iCs/>
          <w:sz w:val="24"/>
          <w:szCs w:val="21"/>
          <w:lang w:val="ru-RU"/>
        </w:rPr>
        <w:t>, как указано в уравнении 1.</w:t>
      </w:r>
    </w:p>
    <w:p w14:paraId="3E537292" w14:textId="5CDFF043" w:rsidR="007F77DD" w:rsidRPr="009C1824" w:rsidRDefault="0081039C" w:rsidP="009C1824">
      <w:pPr>
        <w:ind w:left="2832" w:firstLine="708"/>
        <w:rPr>
          <w:rFonts w:cs="Times New Roman"/>
          <w:szCs w:val="21"/>
        </w:rPr>
      </w:pPr>
      <m:oMath>
        <m:d>
          <m:dPr>
            <m:ctrlPr>
              <w:rPr>
                <w:rFonts w:ascii="Cambria Math" w:hAnsi="Cambria Math" w:cs="Times New Roman"/>
                <w:i/>
                <w:iCs/>
                <w:szCs w:val="21"/>
              </w:rPr>
            </m:ctrlPr>
          </m:dPr>
          <m:e>
            <m:f>
              <m:fPr>
                <m:ctrlPr>
                  <w:rPr>
                    <w:rFonts w:ascii="Cambria Math" w:hAnsi="Cambria Math" w:cs="Times New Roman"/>
                    <w:i/>
                    <w:iCs/>
                    <w:szCs w:val="21"/>
                  </w:rPr>
                </m:ctrlPr>
              </m:fPr>
              <m:num>
                <m:sSub>
                  <m:sSubPr>
                    <m:ctrlPr>
                      <w:rPr>
                        <w:rFonts w:ascii="Cambria Math" w:hAnsi="Cambria Math" w:cs="Times New Roman"/>
                        <w:i/>
                        <w:iCs/>
                        <w:szCs w:val="21"/>
                      </w:rPr>
                    </m:ctrlPr>
                  </m:sSubPr>
                  <m:e>
                    <m:r>
                      <w:rPr>
                        <w:rFonts w:ascii="Cambria Math" w:hAnsi="Cambria Math" w:cs="Times New Roman"/>
                        <w:szCs w:val="21"/>
                        <w:lang w:val="en-US"/>
                      </w:rPr>
                      <m:t>CXGR</m:t>
                    </m:r>
                  </m:e>
                  <m:sub>
                    <m:r>
                      <w:rPr>
                        <w:rFonts w:ascii="Cambria Math" w:hAnsi="Cambria Math" w:cs="Times New Roman"/>
                        <w:szCs w:val="21"/>
                        <w:lang w:val="en-US"/>
                      </w:rPr>
                      <m:t>yt</m:t>
                    </m:r>
                  </m:sub>
                </m:sSub>
                <m:r>
                  <w:rPr>
                    <w:rFonts w:ascii="Cambria Math" w:hAnsi="Cambria Math" w:cs="Times New Roman"/>
                    <w:szCs w:val="21"/>
                  </w:rPr>
                  <m:t>-</m:t>
                </m:r>
                <m:sSub>
                  <m:sSubPr>
                    <m:ctrlPr>
                      <w:rPr>
                        <w:rFonts w:ascii="Cambria Math" w:hAnsi="Cambria Math" w:cs="Times New Roman"/>
                        <w:i/>
                        <w:szCs w:val="21"/>
                      </w:rPr>
                    </m:ctrlPr>
                  </m:sSubPr>
                  <m:e>
                    <m:bar>
                      <m:barPr>
                        <m:pos m:val="top"/>
                        <m:ctrlPr>
                          <w:rPr>
                            <w:rFonts w:ascii="Cambria Math" w:hAnsi="Cambria Math" w:cs="Times New Roman"/>
                            <w:i/>
                            <w:szCs w:val="21"/>
                          </w:rPr>
                        </m:ctrlPr>
                      </m:barPr>
                      <m:e>
                        <m:r>
                          <w:rPr>
                            <w:rFonts w:ascii="Cambria Math" w:hAnsi="Cambria Math" w:cs="Times New Roman"/>
                            <w:szCs w:val="21"/>
                            <w:lang w:val="en-US"/>
                          </w:rPr>
                          <m:t>W</m:t>
                        </m:r>
                        <m:r>
                          <w:rPr>
                            <w:rFonts w:ascii="Cambria Math" w:hAnsi="Cambria Math" w:cs="Times New Roman"/>
                            <w:szCs w:val="21"/>
                          </w:rPr>
                          <m:t>_</m:t>
                        </m:r>
                        <m:r>
                          <w:rPr>
                            <w:rFonts w:ascii="Cambria Math" w:hAnsi="Cambria Math" w:cs="Times New Roman"/>
                            <w:szCs w:val="21"/>
                            <w:lang w:val="en-US"/>
                          </w:rPr>
                          <m:t>CXGR</m:t>
                        </m:r>
                      </m:e>
                    </m:bar>
                  </m:e>
                  <m:sub>
                    <m:r>
                      <w:rPr>
                        <w:rFonts w:ascii="Cambria Math" w:hAnsi="Cambria Math" w:cs="Times New Roman"/>
                        <w:szCs w:val="21"/>
                        <w:lang w:val="en-US"/>
                      </w:rPr>
                      <m:t>t</m:t>
                    </m:r>
                  </m:sub>
                </m:sSub>
              </m:num>
              <m:den>
                <m:sSub>
                  <m:sSubPr>
                    <m:ctrlPr>
                      <w:rPr>
                        <w:rFonts w:ascii="Cambria Math" w:hAnsi="Cambria Math" w:cs="Times New Roman"/>
                        <w:i/>
                        <w:szCs w:val="21"/>
                      </w:rPr>
                    </m:ctrlPr>
                  </m:sSubPr>
                  <m:e>
                    <m:acc>
                      <m:accPr>
                        <m:ctrlPr>
                          <w:rPr>
                            <w:rFonts w:ascii="Cambria Math" w:hAnsi="Cambria Math" w:cs="Times New Roman"/>
                            <w:i/>
                            <w:szCs w:val="21"/>
                          </w:rPr>
                        </m:ctrlPr>
                      </m:accPr>
                      <m:e>
                        <m:r>
                          <w:rPr>
                            <w:rFonts w:ascii="Cambria Math" w:hAnsi="Cambria Math" w:cs="Times New Roman"/>
                            <w:szCs w:val="21"/>
                            <w:lang w:val="en-US"/>
                          </w:rPr>
                          <m:t>σ</m:t>
                        </m:r>
                      </m:e>
                    </m:acc>
                  </m:e>
                  <m:sub>
                    <m:sSub>
                      <m:sSubPr>
                        <m:ctrlPr>
                          <w:rPr>
                            <w:rFonts w:ascii="Cambria Math" w:hAnsi="Cambria Math" w:cs="Times New Roman"/>
                            <w:i/>
                            <w:szCs w:val="21"/>
                          </w:rPr>
                        </m:ctrlPr>
                      </m:sSubPr>
                      <m:e>
                        <m:r>
                          <w:rPr>
                            <w:rFonts w:ascii="Cambria Math" w:hAnsi="Cambria Math" w:cs="Times New Roman"/>
                            <w:szCs w:val="21"/>
                            <w:lang w:val="en-US"/>
                          </w:rPr>
                          <m:t>W</m:t>
                        </m:r>
                        <m:r>
                          <w:rPr>
                            <w:rFonts w:ascii="Cambria Math" w:hAnsi="Cambria Math" w:cs="Times New Roman"/>
                            <w:szCs w:val="21"/>
                          </w:rPr>
                          <m:t>_</m:t>
                        </m:r>
                        <m:r>
                          <w:rPr>
                            <w:rFonts w:ascii="Cambria Math" w:hAnsi="Cambria Math" w:cs="Times New Roman"/>
                            <w:szCs w:val="21"/>
                            <w:lang w:val="en-US"/>
                          </w:rPr>
                          <m:t>CXGR</m:t>
                        </m:r>
                      </m:e>
                      <m:sub>
                        <m:r>
                          <w:rPr>
                            <w:rFonts w:ascii="Cambria Math" w:hAnsi="Cambria Math" w:cs="Times New Roman"/>
                            <w:szCs w:val="21"/>
                            <w:lang w:val="en-US"/>
                          </w:rPr>
                          <m:t>t</m:t>
                        </m:r>
                      </m:sub>
                    </m:sSub>
                  </m:sub>
                </m:sSub>
              </m:den>
            </m:f>
          </m:e>
        </m:d>
        <m:r>
          <w:rPr>
            <w:rFonts w:ascii="Cambria Math" w:hAnsi="Cambria Math" w:cs="Times New Roman"/>
            <w:szCs w:val="21"/>
          </w:rPr>
          <m:t>=</m:t>
        </m:r>
        <m:sSubSup>
          <m:sSubSupPr>
            <m:ctrlPr>
              <w:rPr>
                <w:rFonts w:ascii="Cambria Math" w:hAnsi="Cambria Math" w:cs="Times New Roman"/>
                <w:i/>
                <w:iCs/>
                <w:szCs w:val="21"/>
              </w:rPr>
            </m:ctrlPr>
          </m:sSubSupPr>
          <m:e>
            <m:r>
              <w:rPr>
                <w:rFonts w:ascii="Cambria Math" w:hAnsi="Cambria Math" w:cs="Times New Roman"/>
                <w:szCs w:val="21"/>
                <w:lang w:val="en-US"/>
              </w:rPr>
              <m:t>XIFPA</m:t>
            </m:r>
          </m:e>
          <m:sub>
            <m:r>
              <w:rPr>
                <w:rFonts w:ascii="Cambria Math" w:hAnsi="Cambria Math" w:cs="Times New Roman"/>
                <w:szCs w:val="21"/>
                <w:lang w:val="en-US"/>
              </w:rPr>
              <m:t>yt</m:t>
            </m:r>
          </m:sub>
          <m:sup/>
        </m:sSubSup>
      </m:oMath>
      <w:r w:rsidR="007F77DD" w:rsidRPr="009C1824">
        <w:rPr>
          <w:rFonts w:cs="Times New Roman"/>
          <w:szCs w:val="21"/>
        </w:rPr>
        <w:t xml:space="preserve"> </w:t>
      </w:r>
      <w:r w:rsidR="007F77DD" w:rsidRPr="009C1824">
        <w:rPr>
          <w:rFonts w:cs="Times New Roman"/>
          <w:szCs w:val="21"/>
        </w:rPr>
        <w:tab/>
      </w:r>
      <w:r w:rsidR="007F77DD" w:rsidRPr="009C1824">
        <w:rPr>
          <w:rFonts w:cs="Times New Roman"/>
          <w:szCs w:val="21"/>
        </w:rPr>
        <w:tab/>
      </w:r>
      <w:r w:rsidR="007F77DD" w:rsidRPr="009C1824">
        <w:rPr>
          <w:rFonts w:cs="Times New Roman"/>
          <w:szCs w:val="21"/>
        </w:rPr>
        <w:tab/>
        <w:t>(2)</w:t>
      </w:r>
    </w:p>
    <w:p w14:paraId="225F21E2" w14:textId="77777777" w:rsidR="007F77DD" w:rsidRPr="009C1824" w:rsidRDefault="007F77DD" w:rsidP="007F77DD">
      <w:pPr>
        <w:rPr>
          <w:rFonts w:cs="Times New Roman"/>
          <w:szCs w:val="21"/>
        </w:rPr>
      </w:pPr>
      <w:r w:rsidRPr="009C1824">
        <w:rPr>
          <w:rFonts w:cs="Times New Roman"/>
          <w:szCs w:val="21"/>
        </w:rPr>
        <w:t>Где:</w:t>
      </w:r>
    </w:p>
    <w:p w14:paraId="36A3A296" w14:textId="77777777" w:rsidR="007F77DD" w:rsidRPr="009C1824" w:rsidRDefault="0081039C" w:rsidP="007F77DD">
      <w:pPr>
        <w:rPr>
          <w:rFonts w:cs="Times New Roman"/>
          <w:i/>
          <w:szCs w:val="21"/>
        </w:rPr>
      </w:pPr>
      <m:oMath>
        <m:sSub>
          <m:sSubPr>
            <m:ctrlPr>
              <w:rPr>
                <w:rFonts w:ascii="Cambria Math" w:hAnsi="Cambria Math" w:cs="Times New Roman"/>
                <w:i/>
                <w:iCs/>
                <w:szCs w:val="21"/>
              </w:rPr>
            </m:ctrlPr>
          </m:sSubPr>
          <m:e>
            <m:r>
              <w:rPr>
                <w:rFonts w:ascii="Cambria Math" w:hAnsi="Cambria Math" w:cs="Times New Roman"/>
                <w:szCs w:val="21"/>
                <w:lang w:val="en-US"/>
              </w:rPr>
              <m:t>CXGR</m:t>
            </m:r>
          </m:e>
          <m:sub>
            <m:r>
              <w:rPr>
                <w:rFonts w:ascii="Cambria Math" w:hAnsi="Cambria Math" w:cs="Times New Roman"/>
                <w:szCs w:val="21"/>
                <w:lang w:val="en-US"/>
              </w:rPr>
              <m:t>yt</m:t>
            </m:r>
          </m:sub>
        </m:sSub>
      </m:oMath>
      <w:r w:rsidR="007F77DD" w:rsidRPr="009C1824">
        <w:rPr>
          <w:rFonts w:cs="Times New Roman"/>
          <w:iCs/>
          <w:szCs w:val="21"/>
        </w:rPr>
        <w:t xml:space="preserve"> - </w:t>
      </w:r>
      <w:r w:rsidR="007F77DD" w:rsidRPr="009C1824">
        <w:rPr>
          <w:rFonts w:cs="Times New Roman"/>
          <w:szCs w:val="21"/>
        </w:rPr>
        <w:t xml:space="preserve">квартальный или годовой совокупный темп роста в месяце </w:t>
      </w:r>
      <w:r w:rsidR="007F77DD" w:rsidRPr="009C1824">
        <w:rPr>
          <w:rFonts w:cs="Times New Roman"/>
          <w:szCs w:val="21"/>
          <w:lang w:val="en-US"/>
        </w:rPr>
        <w:t>t</w:t>
      </w:r>
      <w:r w:rsidR="007F77DD" w:rsidRPr="009C1824">
        <w:rPr>
          <w:rFonts w:cs="Times New Roman"/>
          <w:szCs w:val="21"/>
        </w:rPr>
        <w:t xml:space="preserve"> за год </w:t>
      </w:r>
      <w:r w:rsidR="007F77DD" w:rsidRPr="009C1824">
        <w:rPr>
          <w:rFonts w:cs="Times New Roman"/>
          <w:szCs w:val="21"/>
          <w:lang w:val="en-US"/>
        </w:rPr>
        <w:t>y</w:t>
      </w:r>
    </w:p>
    <w:p w14:paraId="3EA112E8" w14:textId="77777777" w:rsidR="007F77DD" w:rsidRPr="009C1824" w:rsidRDefault="0081039C" w:rsidP="007F77DD">
      <w:pPr>
        <w:rPr>
          <w:rFonts w:cs="Times New Roman"/>
          <w:i/>
          <w:iCs/>
          <w:szCs w:val="21"/>
        </w:rPr>
      </w:pPr>
      <m:oMath>
        <m:sSub>
          <m:sSubPr>
            <m:ctrlPr>
              <w:rPr>
                <w:rFonts w:ascii="Cambria Math" w:hAnsi="Cambria Math" w:cs="Times New Roman"/>
                <w:i/>
                <w:szCs w:val="21"/>
              </w:rPr>
            </m:ctrlPr>
          </m:sSubPr>
          <m:e>
            <m:bar>
              <m:barPr>
                <m:pos m:val="top"/>
                <m:ctrlPr>
                  <w:rPr>
                    <w:rFonts w:ascii="Cambria Math" w:hAnsi="Cambria Math" w:cs="Times New Roman"/>
                    <w:i/>
                    <w:szCs w:val="21"/>
                  </w:rPr>
                </m:ctrlPr>
              </m:barPr>
              <m:e>
                <m:r>
                  <w:rPr>
                    <w:rFonts w:ascii="Cambria Math" w:hAnsi="Cambria Math" w:cs="Times New Roman"/>
                    <w:szCs w:val="21"/>
                    <w:lang w:val="en-US"/>
                  </w:rPr>
                  <m:t>W</m:t>
                </m:r>
                <m:r>
                  <w:rPr>
                    <w:rFonts w:ascii="Cambria Math" w:hAnsi="Cambria Math" w:cs="Times New Roman"/>
                    <w:szCs w:val="21"/>
                  </w:rPr>
                  <m:t>_</m:t>
                </m:r>
                <m:r>
                  <w:rPr>
                    <w:rFonts w:ascii="Cambria Math" w:hAnsi="Cambria Math" w:cs="Times New Roman"/>
                    <w:szCs w:val="21"/>
                    <w:lang w:val="en-US"/>
                  </w:rPr>
                  <m:t>CXGR</m:t>
                </m:r>
              </m:e>
            </m:bar>
          </m:e>
          <m:sub>
            <m:r>
              <w:rPr>
                <w:rFonts w:ascii="Cambria Math" w:hAnsi="Cambria Math" w:cs="Times New Roman"/>
                <w:szCs w:val="21"/>
                <w:lang w:val="en-US"/>
              </w:rPr>
              <m:t>t</m:t>
            </m:r>
          </m:sub>
        </m:sSub>
      </m:oMath>
      <w:r w:rsidR="007F77DD" w:rsidRPr="009C1824">
        <w:rPr>
          <w:rFonts w:cs="Times New Roman"/>
          <w:szCs w:val="21"/>
        </w:rPr>
        <w:t xml:space="preserve"> - средневзвешенное значение квартального или годового совокупного темпа роста за месяц </w:t>
      </w:r>
      <w:r w:rsidR="007F77DD" w:rsidRPr="009C1824">
        <w:rPr>
          <w:rFonts w:cs="Times New Roman"/>
          <w:szCs w:val="21"/>
          <w:lang w:val="en-US"/>
        </w:rPr>
        <w:t>t</w:t>
      </w:r>
      <w:r w:rsidR="007F77DD" w:rsidRPr="009C1824">
        <w:rPr>
          <w:rFonts w:cs="Times New Roman"/>
          <w:szCs w:val="21"/>
        </w:rPr>
        <w:t xml:space="preserve"> по годам </w:t>
      </w:r>
      <w:r w:rsidR="007F77DD" w:rsidRPr="009C1824">
        <w:rPr>
          <w:rFonts w:cs="Times New Roman"/>
          <w:i/>
          <w:iCs/>
          <w:szCs w:val="21"/>
          <w:lang w:val="en-US"/>
        </w:rPr>
        <w:t>y</w:t>
      </w:r>
      <w:r w:rsidR="007F77DD" w:rsidRPr="009C1824">
        <w:rPr>
          <w:rFonts w:cs="Times New Roman"/>
          <w:iCs/>
          <w:szCs w:val="21"/>
        </w:rPr>
        <w:t>,</w:t>
      </w:r>
    </w:p>
    <w:p w14:paraId="445F33E2" w14:textId="77777777" w:rsidR="007F77DD" w:rsidRPr="009C1824" w:rsidRDefault="0081039C" w:rsidP="007F77DD">
      <w:pPr>
        <w:rPr>
          <w:rFonts w:cs="Times New Roman"/>
          <w:iCs/>
          <w:szCs w:val="21"/>
        </w:rPr>
      </w:pPr>
      <m:oMath>
        <m:sSub>
          <m:sSubPr>
            <m:ctrlPr>
              <w:rPr>
                <w:rFonts w:ascii="Cambria Math" w:hAnsi="Cambria Math" w:cs="Times New Roman"/>
                <w:i/>
                <w:szCs w:val="21"/>
              </w:rPr>
            </m:ctrlPr>
          </m:sSubPr>
          <m:e>
            <m:acc>
              <m:accPr>
                <m:ctrlPr>
                  <w:rPr>
                    <w:rFonts w:ascii="Cambria Math" w:hAnsi="Cambria Math" w:cs="Times New Roman"/>
                    <w:i/>
                    <w:szCs w:val="21"/>
                  </w:rPr>
                </m:ctrlPr>
              </m:accPr>
              <m:e>
                <m:r>
                  <w:rPr>
                    <w:rFonts w:ascii="Cambria Math" w:hAnsi="Cambria Math" w:cs="Times New Roman"/>
                    <w:szCs w:val="21"/>
                    <w:lang w:val="en-US"/>
                  </w:rPr>
                  <m:t>σ</m:t>
                </m:r>
              </m:e>
            </m:acc>
          </m:e>
          <m:sub>
            <m:sSub>
              <m:sSubPr>
                <m:ctrlPr>
                  <w:rPr>
                    <w:rFonts w:ascii="Cambria Math" w:hAnsi="Cambria Math" w:cs="Times New Roman"/>
                    <w:i/>
                    <w:szCs w:val="21"/>
                  </w:rPr>
                </m:ctrlPr>
              </m:sSubPr>
              <m:e>
                <m:r>
                  <w:rPr>
                    <w:rFonts w:ascii="Cambria Math" w:hAnsi="Cambria Math" w:cs="Times New Roman"/>
                    <w:szCs w:val="21"/>
                    <w:lang w:val="en-US"/>
                  </w:rPr>
                  <m:t>W</m:t>
                </m:r>
                <m:r>
                  <w:rPr>
                    <w:rFonts w:ascii="Cambria Math" w:hAnsi="Cambria Math" w:cs="Times New Roman"/>
                    <w:szCs w:val="21"/>
                  </w:rPr>
                  <m:t>_</m:t>
                </m:r>
                <m:r>
                  <w:rPr>
                    <w:rFonts w:ascii="Cambria Math" w:hAnsi="Cambria Math" w:cs="Times New Roman"/>
                    <w:szCs w:val="21"/>
                    <w:lang w:val="en-US"/>
                  </w:rPr>
                  <m:t>CXGR</m:t>
                </m:r>
              </m:e>
              <m:sub>
                <m:r>
                  <w:rPr>
                    <w:rFonts w:ascii="Cambria Math" w:hAnsi="Cambria Math" w:cs="Times New Roman"/>
                    <w:szCs w:val="21"/>
                    <w:lang w:val="en-US"/>
                  </w:rPr>
                  <m:t>t</m:t>
                </m:r>
              </m:sub>
            </m:sSub>
          </m:sub>
        </m:sSub>
      </m:oMath>
      <w:r w:rsidR="007F77DD" w:rsidRPr="009C1824">
        <w:rPr>
          <w:rFonts w:cs="Times New Roman"/>
          <w:iCs/>
          <w:szCs w:val="21"/>
        </w:rPr>
        <w:t xml:space="preserve"> - взвешенное стандартное отклонение квартального или годового совокупного темпа роста за месяц </w:t>
      </w:r>
      <w:r w:rsidR="007F77DD" w:rsidRPr="009C1824">
        <w:rPr>
          <w:rFonts w:cs="Times New Roman"/>
          <w:iCs/>
          <w:szCs w:val="21"/>
          <w:lang w:val="en-US"/>
        </w:rPr>
        <w:t>t</w:t>
      </w:r>
      <w:r w:rsidR="007F77DD" w:rsidRPr="009C1824">
        <w:rPr>
          <w:rFonts w:cs="Times New Roman"/>
          <w:iCs/>
          <w:szCs w:val="21"/>
        </w:rPr>
        <w:t xml:space="preserve"> по годам </w:t>
      </w:r>
      <w:r w:rsidR="007F77DD" w:rsidRPr="009C1824">
        <w:rPr>
          <w:rFonts w:cs="Times New Roman"/>
          <w:i/>
          <w:iCs/>
          <w:szCs w:val="21"/>
        </w:rPr>
        <w:t>y</w:t>
      </w:r>
      <w:r w:rsidR="007F77DD" w:rsidRPr="009C1824">
        <w:rPr>
          <w:rFonts w:cs="Times New Roman"/>
          <w:iCs/>
          <w:szCs w:val="21"/>
        </w:rPr>
        <w:t xml:space="preserve">, </w:t>
      </w:r>
    </w:p>
    <w:p w14:paraId="13564AA2" w14:textId="77777777" w:rsidR="007F77DD" w:rsidRPr="000311CE" w:rsidRDefault="0081039C" w:rsidP="007F77DD">
      <w:pPr>
        <w:rPr>
          <w:rFonts w:cs="Times New Roman"/>
          <w:iCs/>
          <w:color w:val="FF0000"/>
          <w:szCs w:val="21"/>
        </w:rPr>
      </w:pPr>
      <m:oMath>
        <m:sSubSup>
          <m:sSubSupPr>
            <m:ctrlPr>
              <w:rPr>
                <w:rFonts w:ascii="Cambria Math" w:hAnsi="Cambria Math" w:cs="Times New Roman"/>
                <w:i/>
                <w:iCs/>
                <w:szCs w:val="21"/>
              </w:rPr>
            </m:ctrlPr>
          </m:sSubSupPr>
          <m:e>
            <m:r>
              <w:rPr>
                <w:rFonts w:ascii="Cambria Math" w:hAnsi="Cambria Math" w:cs="Times New Roman"/>
                <w:szCs w:val="21"/>
                <w:lang w:val="en-US"/>
              </w:rPr>
              <m:t>XIFPA</m:t>
            </m:r>
          </m:e>
          <m:sub>
            <m:r>
              <w:rPr>
                <w:rFonts w:ascii="Cambria Math" w:hAnsi="Cambria Math" w:cs="Times New Roman"/>
                <w:szCs w:val="21"/>
                <w:lang w:val="en-US"/>
              </w:rPr>
              <m:t>yt</m:t>
            </m:r>
          </m:sub>
          <m:sup/>
        </m:sSubSup>
      </m:oMath>
      <w:r w:rsidR="007F77DD" w:rsidRPr="009C1824">
        <w:rPr>
          <w:rFonts w:cs="Times New Roman"/>
          <w:iCs/>
          <w:szCs w:val="21"/>
        </w:rPr>
        <w:t xml:space="preserve"> - квартальный или годовой индикатор ценовой аномалии</w:t>
      </w:r>
      <w:r w:rsidR="007F77DD" w:rsidRPr="000311CE">
        <w:rPr>
          <w:rFonts w:cs="Times New Roman"/>
          <w:iCs/>
          <w:color w:val="FF0000"/>
          <w:szCs w:val="21"/>
        </w:rPr>
        <w:t>.</w:t>
      </w:r>
    </w:p>
    <w:p w14:paraId="1D1CE48E" w14:textId="02D3A9E5" w:rsidR="007F77DD" w:rsidRDefault="007B1F84" w:rsidP="007B1F84">
      <w:pPr>
        <w:ind w:firstLine="708"/>
        <w:rPr>
          <w:rFonts w:eastAsiaTheme="minorEastAsia" w:cs="Times New Roman"/>
          <w:iCs/>
          <w:szCs w:val="21"/>
        </w:rPr>
      </w:pPr>
      <w:r w:rsidRPr="007B1F84">
        <w:rPr>
          <w:rFonts w:eastAsiaTheme="minorEastAsia" w:cs="Times New Roman"/>
          <w:iCs/>
          <w:szCs w:val="21"/>
        </w:rPr>
        <w:t>IFPA определяется как:</w:t>
      </w:r>
    </w:p>
    <w:p w14:paraId="6E8F9616" w14:textId="27F5D5EE" w:rsidR="00E834AD" w:rsidRPr="002525C1" w:rsidRDefault="0081039C" w:rsidP="00A343D5">
      <w:pPr>
        <w:rPr>
          <w:rFonts w:cs="Times New Roman"/>
          <w:szCs w:val="21"/>
        </w:rPr>
      </w:pPr>
      <m:oMath>
        <m:sSub>
          <m:sSubPr>
            <m:ctrlPr>
              <w:rPr>
                <w:rFonts w:ascii="Cambria Math" w:hAnsi="Cambria Math" w:cs="Times New Roman"/>
                <w:i/>
                <w:iCs/>
                <w:szCs w:val="21"/>
              </w:rPr>
            </m:ctrlPr>
          </m:sSubPr>
          <m:e>
            <m:r>
              <w:rPr>
                <w:rFonts w:ascii="Cambria Math" w:hAnsi="Cambria Math" w:cs="Times New Roman"/>
                <w:szCs w:val="21"/>
                <w:lang w:val="en-US"/>
              </w:rPr>
              <m:t>IFPA</m:t>
            </m:r>
          </m:e>
          <m:sub>
            <m:r>
              <w:rPr>
                <w:rFonts w:ascii="Cambria Math" w:hAnsi="Cambria Math" w:cs="Times New Roman"/>
                <w:szCs w:val="21"/>
                <w:lang w:val="en-US"/>
              </w:rPr>
              <m:t>yt</m:t>
            </m:r>
          </m:sub>
        </m:sSub>
        <m:r>
          <w:rPr>
            <w:rFonts w:ascii="Cambria Math" w:hAnsi="Cambria Math" w:cs="Times New Roman"/>
            <w:szCs w:val="21"/>
          </w:rPr>
          <m:t>=</m:t>
        </m:r>
        <m:r>
          <w:rPr>
            <w:rFonts w:ascii="Cambria Math" w:hAnsi="Cambria Math" w:cs="Times New Roman"/>
            <w:szCs w:val="21"/>
            <w:lang w:val="en-US"/>
          </w:rPr>
          <m:t>γ</m:t>
        </m:r>
        <m:sSubSup>
          <m:sSubSupPr>
            <m:ctrlPr>
              <w:rPr>
                <w:rFonts w:ascii="Cambria Math" w:hAnsi="Cambria Math" w:cs="Times New Roman"/>
                <w:i/>
                <w:iCs/>
                <w:szCs w:val="21"/>
              </w:rPr>
            </m:ctrlPr>
          </m:sSubSupPr>
          <m:e>
            <m:r>
              <w:rPr>
                <w:rFonts w:ascii="Cambria Math" w:hAnsi="Cambria Math" w:cs="Times New Roman"/>
                <w:szCs w:val="21"/>
                <w:lang w:val="en-US"/>
              </w:rPr>
              <m:t>QIFPA</m:t>
            </m:r>
          </m:e>
          <m:sub>
            <m:r>
              <w:rPr>
                <w:rFonts w:ascii="Cambria Math" w:hAnsi="Cambria Math" w:cs="Times New Roman"/>
                <w:szCs w:val="21"/>
                <w:lang w:val="en-US"/>
              </w:rPr>
              <m:t>yt</m:t>
            </m:r>
          </m:sub>
          <m:sup/>
        </m:sSubSup>
        <m:r>
          <w:rPr>
            <w:rFonts w:ascii="Cambria Math" w:hAnsi="Cambria Math" w:cs="Times New Roman"/>
            <w:szCs w:val="21"/>
          </w:rPr>
          <m:t>+</m:t>
        </m:r>
        <m:d>
          <m:dPr>
            <m:ctrlPr>
              <w:rPr>
                <w:rFonts w:ascii="Cambria Math" w:hAnsi="Cambria Math" w:cs="Times New Roman"/>
                <w:i/>
                <w:iCs/>
                <w:szCs w:val="21"/>
              </w:rPr>
            </m:ctrlPr>
          </m:dPr>
          <m:e>
            <m:r>
              <w:rPr>
                <w:rFonts w:ascii="Cambria Math" w:hAnsi="Cambria Math" w:cs="Times New Roman"/>
                <w:szCs w:val="21"/>
              </w:rPr>
              <m:t>1-</m:t>
            </m:r>
            <m:r>
              <w:rPr>
                <w:rFonts w:ascii="Cambria Math" w:hAnsi="Cambria Math" w:cs="Times New Roman"/>
                <w:szCs w:val="21"/>
                <w:lang w:val="en-US"/>
              </w:rPr>
              <m:t>γ</m:t>
            </m:r>
          </m:e>
        </m:d>
        <m:sSubSup>
          <m:sSubSupPr>
            <m:ctrlPr>
              <w:rPr>
                <w:rFonts w:ascii="Cambria Math" w:hAnsi="Cambria Math" w:cs="Times New Roman"/>
                <w:i/>
                <w:iCs/>
                <w:szCs w:val="21"/>
              </w:rPr>
            </m:ctrlPr>
          </m:sSubSupPr>
          <m:e>
            <m:r>
              <w:rPr>
                <w:rFonts w:ascii="Cambria Math" w:hAnsi="Cambria Math" w:cs="Times New Roman"/>
                <w:szCs w:val="21"/>
                <w:lang w:val="en-US"/>
              </w:rPr>
              <m:t>AIFPA</m:t>
            </m:r>
          </m:e>
          <m:sub>
            <m:r>
              <w:rPr>
                <w:rFonts w:ascii="Cambria Math" w:hAnsi="Cambria Math" w:cs="Times New Roman"/>
                <w:szCs w:val="21"/>
                <w:lang w:val="en-US"/>
              </w:rPr>
              <m:t>yt</m:t>
            </m:r>
          </m:sub>
          <m:sup/>
        </m:sSubSup>
      </m:oMath>
      <w:r w:rsidR="00E834AD" w:rsidRPr="002525C1">
        <w:rPr>
          <w:rFonts w:cs="Times New Roman"/>
          <w:szCs w:val="21"/>
        </w:rPr>
        <w:t xml:space="preserve"> </w:t>
      </w:r>
      <w:r w:rsidR="00E834AD" w:rsidRPr="002525C1">
        <w:rPr>
          <w:rFonts w:cs="Times New Roman"/>
          <w:szCs w:val="21"/>
        </w:rPr>
        <w:tab/>
      </w:r>
      <w:r w:rsidR="00E834AD" w:rsidRPr="002525C1">
        <w:rPr>
          <w:rFonts w:cs="Times New Roman"/>
          <w:szCs w:val="21"/>
        </w:rPr>
        <w:tab/>
      </w:r>
      <w:r w:rsidR="00E834AD" w:rsidRPr="002525C1">
        <w:rPr>
          <w:rFonts w:cs="Times New Roman"/>
          <w:szCs w:val="21"/>
        </w:rPr>
        <w:tab/>
      </w:r>
      <w:r w:rsidR="00E834AD" w:rsidRPr="002525C1">
        <w:rPr>
          <w:rFonts w:cs="Times New Roman"/>
          <w:szCs w:val="21"/>
        </w:rPr>
        <w:tab/>
      </w:r>
      <w:r w:rsidR="00E834AD" w:rsidRPr="002525C1">
        <w:rPr>
          <w:rFonts w:cs="Times New Roman"/>
          <w:szCs w:val="21"/>
        </w:rPr>
        <w:tab/>
      </w:r>
      <w:r w:rsidR="00E834AD" w:rsidRPr="002525C1">
        <w:rPr>
          <w:rFonts w:cs="Times New Roman"/>
          <w:szCs w:val="21"/>
        </w:rPr>
        <w:tab/>
      </w:r>
      <w:r w:rsidR="00E834AD" w:rsidRPr="002525C1">
        <w:rPr>
          <w:rFonts w:cs="Times New Roman"/>
          <w:szCs w:val="21"/>
        </w:rPr>
        <w:tab/>
        <w:t>(3)</w:t>
      </w:r>
    </w:p>
    <w:p w14:paraId="157DC075" w14:textId="77777777" w:rsidR="00E834AD" w:rsidRPr="002525C1" w:rsidRDefault="00E834AD" w:rsidP="00A343D5">
      <w:pPr>
        <w:rPr>
          <w:rFonts w:cs="Times New Roman"/>
          <w:szCs w:val="21"/>
        </w:rPr>
      </w:pPr>
      <w:r w:rsidRPr="002525C1">
        <w:rPr>
          <w:rFonts w:cs="Times New Roman"/>
          <w:szCs w:val="21"/>
        </w:rPr>
        <w:t xml:space="preserve">Где: </w:t>
      </w:r>
    </w:p>
    <w:p w14:paraId="144D02BA" w14:textId="77777777" w:rsidR="00E834AD" w:rsidRPr="002525C1" w:rsidRDefault="0081039C" w:rsidP="00A343D5">
      <w:pPr>
        <w:rPr>
          <w:rFonts w:cs="Times New Roman"/>
          <w:iCs/>
          <w:szCs w:val="21"/>
        </w:rPr>
      </w:pPr>
      <m:oMath>
        <m:sSub>
          <m:sSubPr>
            <m:ctrlPr>
              <w:rPr>
                <w:rFonts w:ascii="Cambria Math" w:hAnsi="Cambria Math" w:cs="Times New Roman"/>
                <w:i/>
                <w:iCs/>
                <w:szCs w:val="21"/>
              </w:rPr>
            </m:ctrlPr>
          </m:sSubPr>
          <m:e>
            <m:r>
              <w:rPr>
                <w:rFonts w:ascii="Cambria Math" w:hAnsi="Cambria Math" w:cs="Times New Roman"/>
                <w:szCs w:val="21"/>
                <w:lang w:val="en-US"/>
              </w:rPr>
              <m:t>IFPA</m:t>
            </m:r>
          </m:e>
          <m:sub>
            <m:r>
              <w:rPr>
                <w:rFonts w:ascii="Cambria Math" w:hAnsi="Cambria Math" w:cs="Times New Roman"/>
                <w:szCs w:val="21"/>
                <w:lang w:val="en-US"/>
              </w:rPr>
              <m:t>yt</m:t>
            </m:r>
          </m:sub>
        </m:sSub>
      </m:oMath>
      <w:r w:rsidR="00E834AD" w:rsidRPr="002525C1">
        <w:rPr>
          <w:rFonts w:cs="Times New Roman"/>
          <w:iCs/>
          <w:szCs w:val="21"/>
        </w:rPr>
        <w:t xml:space="preserve"> - индикатор аномалий цен на продовольствие в год </w:t>
      </w:r>
      <w:r w:rsidR="00E834AD" w:rsidRPr="002525C1">
        <w:rPr>
          <w:rFonts w:cs="Times New Roman"/>
          <w:iCs/>
          <w:szCs w:val="21"/>
          <w:lang w:val="en-US"/>
        </w:rPr>
        <w:t>y</w:t>
      </w:r>
      <w:r w:rsidR="00E834AD" w:rsidRPr="002525C1">
        <w:rPr>
          <w:rFonts w:cs="Times New Roman"/>
          <w:iCs/>
          <w:szCs w:val="21"/>
        </w:rPr>
        <w:t xml:space="preserve"> и месяц </w:t>
      </w:r>
    </w:p>
    <w:p w14:paraId="696E5237" w14:textId="77777777" w:rsidR="00E834AD" w:rsidRPr="002525C1" w:rsidRDefault="00E834AD" w:rsidP="00A343D5">
      <w:pPr>
        <w:rPr>
          <w:rFonts w:cs="Times New Roman"/>
          <w:szCs w:val="21"/>
        </w:rPr>
      </w:pPr>
      <w:r w:rsidRPr="002525C1">
        <w:rPr>
          <w:rFonts w:cs="Times New Roman"/>
          <w:iCs/>
          <w:szCs w:val="21"/>
          <w:lang w:val="en-US"/>
        </w:rPr>
        <w:t>t</w:t>
      </w:r>
      <m:oMath>
        <m:sSubSup>
          <m:sSubSupPr>
            <m:ctrlPr>
              <w:rPr>
                <w:rFonts w:ascii="Cambria Math" w:hAnsi="Cambria Math" w:cs="Times New Roman"/>
                <w:i/>
                <w:iCs/>
                <w:szCs w:val="21"/>
              </w:rPr>
            </m:ctrlPr>
          </m:sSubSupPr>
          <m:e>
            <m:r>
              <w:rPr>
                <w:rFonts w:ascii="Cambria Math" w:hAnsi="Cambria Math" w:cs="Times New Roman"/>
                <w:szCs w:val="21"/>
                <w:lang w:val="en-US"/>
              </w:rPr>
              <m:t>QIFPA</m:t>
            </m:r>
          </m:e>
          <m:sub>
            <m:r>
              <w:rPr>
                <w:rFonts w:ascii="Cambria Math" w:hAnsi="Cambria Math" w:cs="Times New Roman"/>
                <w:szCs w:val="21"/>
                <w:lang w:val="en-US"/>
              </w:rPr>
              <m:t>yt</m:t>
            </m:r>
          </m:sub>
          <m:sup/>
        </m:sSubSup>
      </m:oMath>
      <w:r w:rsidRPr="002525C1">
        <w:rPr>
          <w:rFonts w:cs="Times New Roman"/>
          <w:szCs w:val="21"/>
        </w:rPr>
        <w:t>- квартальный индикатор аномалий цен на продукты питания в год y и месяц t</w:t>
      </w:r>
    </w:p>
    <w:p w14:paraId="4854EE1C" w14:textId="77777777" w:rsidR="00E834AD" w:rsidRPr="002525C1" w:rsidRDefault="0081039C" w:rsidP="00A343D5">
      <w:pPr>
        <w:rPr>
          <w:rFonts w:cs="Times New Roman"/>
          <w:szCs w:val="21"/>
        </w:rPr>
      </w:pPr>
      <m:oMath>
        <m:sSubSup>
          <m:sSubSupPr>
            <m:ctrlPr>
              <w:rPr>
                <w:rFonts w:ascii="Cambria Math" w:hAnsi="Cambria Math" w:cs="Times New Roman"/>
                <w:i/>
                <w:iCs/>
                <w:szCs w:val="21"/>
              </w:rPr>
            </m:ctrlPr>
          </m:sSubSupPr>
          <m:e>
            <m:r>
              <w:rPr>
                <w:rFonts w:ascii="Cambria Math" w:hAnsi="Cambria Math" w:cs="Times New Roman"/>
                <w:szCs w:val="21"/>
                <w:lang w:val="en-US"/>
              </w:rPr>
              <m:t>AIFPA</m:t>
            </m:r>
          </m:e>
          <m:sub>
            <m:r>
              <w:rPr>
                <w:rFonts w:ascii="Cambria Math" w:hAnsi="Cambria Math" w:cs="Times New Roman"/>
                <w:szCs w:val="21"/>
                <w:lang w:val="en-US"/>
              </w:rPr>
              <m:t>yt</m:t>
            </m:r>
          </m:sub>
          <m:sup/>
        </m:sSubSup>
      </m:oMath>
      <w:r w:rsidR="00E834AD" w:rsidRPr="002525C1">
        <w:rPr>
          <w:rFonts w:cs="Times New Roman"/>
          <w:szCs w:val="21"/>
        </w:rPr>
        <w:t xml:space="preserve"> - годовой индикатор аномалий цен на продовольствие в год y и месяц t</w:t>
      </w:r>
    </w:p>
    <w:p w14:paraId="7D3F71C0" w14:textId="77777777" w:rsidR="00E834AD" w:rsidRPr="002525C1" w:rsidRDefault="00E834AD" w:rsidP="00A343D5">
      <w:pPr>
        <w:rPr>
          <w:rFonts w:cs="Times New Roman"/>
          <w:szCs w:val="21"/>
        </w:rPr>
      </w:pPr>
      <m:oMath>
        <m:r>
          <w:rPr>
            <w:rFonts w:ascii="Cambria Math" w:hAnsi="Cambria Math" w:cs="Times New Roman"/>
            <w:szCs w:val="21"/>
            <w:lang w:val="en-US"/>
          </w:rPr>
          <m:t>γ</m:t>
        </m:r>
      </m:oMath>
      <w:r w:rsidRPr="008B703F">
        <w:rPr>
          <w:rFonts w:cs="Times New Roman"/>
          <w:szCs w:val="21"/>
        </w:rPr>
        <w:t xml:space="preserve"> </w:t>
      </w:r>
      <w:r w:rsidRPr="002525C1">
        <w:rPr>
          <w:rFonts w:cs="Times New Roman"/>
          <w:szCs w:val="21"/>
        </w:rPr>
        <w:t>- вес со значением 0,4.</w:t>
      </w:r>
    </w:p>
    <w:p w14:paraId="05FBBAD4" w14:textId="77777777" w:rsidR="009B3820" w:rsidRPr="002525C1" w:rsidRDefault="009B3820" w:rsidP="00A343D5">
      <w:pPr>
        <w:ind w:firstLine="540"/>
        <w:rPr>
          <w:rFonts w:cs="Times New Roman"/>
          <w:szCs w:val="24"/>
        </w:rPr>
      </w:pPr>
      <w:r w:rsidRPr="002525C1">
        <w:rPr>
          <w:rFonts w:cs="Times New Roman"/>
          <w:szCs w:val="24"/>
        </w:rPr>
        <w:t xml:space="preserve">Вес </w:t>
      </w:r>
      <w:r w:rsidRPr="002525C1">
        <w:rPr>
          <w:rFonts w:cs="Times New Roman"/>
          <w:szCs w:val="24"/>
          <w:lang w:val="en-US"/>
        </w:rPr>
        <w:t>γ</w:t>
      </w:r>
      <w:r w:rsidRPr="002525C1">
        <w:rPr>
          <w:rFonts w:cs="Times New Roman"/>
          <w:szCs w:val="24"/>
        </w:rPr>
        <w:t xml:space="preserve"> устанавливает относительную важность квартальных (</w:t>
      </w:r>
      <m:oMath>
        <m:sSubSup>
          <m:sSubSupPr>
            <m:ctrlPr>
              <w:rPr>
                <w:rFonts w:ascii="Cambria Math" w:hAnsi="Cambria Math" w:cs="Times New Roman"/>
                <w:i/>
                <w:iCs/>
                <w:szCs w:val="24"/>
              </w:rPr>
            </m:ctrlPr>
          </m:sSubSupPr>
          <m:e>
            <m:r>
              <w:rPr>
                <w:rFonts w:ascii="Cambria Math" w:hAnsi="Cambria Math" w:cs="Times New Roman"/>
                <w:szCs w:val="24"/>
                <w:lang w:val="en-US"/>
              </w:rPr>
              <m:t>QIFPA</m:t>
            </m:r>
          </m:e>
          <m:sub>
            <m:r>
              <w:rPr>
                <w:rFonts w:ascii="Cambria Math" w:hAnsi="Cambria Math" w:cs="Times New Roman"/>
                <w:szCs w:val="24"/>
                <w:lang w:val="en-US"/>
              </w:rPr>
              <m:t>t</m:t>
            </m:r>
          </m:sub>
          <m:sup/>
        </m:sSubSup>
      </m:oMath>
      <w:r w:rsidRPr="002525C1">
        <w:rPr>
          <w:rFonts w:cs="Times New Roman"/>
          <w:iCs/>
          <w:szCs w:val="24"/>
        </w:rPr>
        <w:t>) аномалий для колебаний цен из года в год (</w:t>
      </w:r>
      <m:oMath>
        <m:sSubSup>
          <m:sSubSupPr>
            <m:ctrlPr>
              <w:rPr>
                <w:rFonts w:ascii="Cambria Math" w:hAnsi="Cambria Math" w:cs="Times New Roman"/>
                <w:i/>
                <w:iCs/>
                <w:szCs w:val="24"/>
              </w:rPr>
            </m:ctrlPr>
          </m:sSubSupPr>
          <m:e>
            <m:r>
              <w:rPr>
                <w:rFonts w:ascii="Cambria Math" w:hAnsi="Cambria Math" w:cs="Times New Roman"/>
                <w:szCs w:val="24"/>
                <w:lang w:val="en-US"/>
              </w:rPr>
              <m:t>AIFPA</m:t>
            </m:r>
          </m:e>
          <m:sub>
            <m:r>
              <w:rPr>
                <w:rFonts w:ascii="Cambria Math" w:hAnsi="Cambria Math" w:cs="Times New Roman"/>
                <w:szCs w:val="24"/>
                <w:lang w:val="en-US"/>
              </w:rPr>
              <m:t>yt</m:t>
            </m:r>
          </m:sub>
          <m:sup/>
        </m:sSubSup>
        <m:r>
          <w:rPr>
            <w:rFonts w:ascii="Cambria Math" w:hAnsi="Cambria Math" w:cs="Times New Roman"/>
            <w:szCs w:val="24"/>
          </w:rPr>
          <m:t>)</m:t>
        </m:r>
      </m:oMath>
      <w:r w:rsidRPr="002525C1">
        <w:rPr>
          <w:rFonts w:cs="Times New Roman"/>
          <w:iCs/>
          <w:szCs w:val="24"/>
        </w:rPr>
        <w:t xml:space="preserve">. </w:t>
      </w:r>
      <w:r w:rsidRPr="002525C1">
        <w:rPr>
          <w:rFonts w:cs="Times New Roman"/>
          <w:szCs w:val="24"/>
        </w:rPr>
        <w:t>Затем рассчитывается вес</w:t>
      </w:r>
      <w:r w:rsidRPr="002525C1">
        <w:rPr>
          <w:rFonts w:cs="Times New Roman"/>
          <w:szCs w:val="24"/>
          <w:lang w:val="en-US"/>
        </w:rPr>
        <w:t>γ</w:t>
      </w:r>
      <w:r w:rsidRPr="002525C1">
        <w:rPr>
          <w:rFonts w:cs="Times New Roman"/>
          <w:szCs w:val="24"/>
        </w:rPr>
        <w:t xml:space="preserve"> (1-</w:t>
      </w:r>
      <w:r w:rsidRPr="002525C1">
        <w:rPr>
          <w:rFonts w:cs="Times New Roman"/>
          <w:szCs w:val="24"/>
          <w:lang w:val="en-US"/>
        </w:rPr>
        <w:t>γ</w:t>
      </w:r>
      <w:r w:rsidRPr="002525C1">
        <w:rPr>
          <w:rFonts w:cs="Times New Roman"/>
          <w:szCs w:val="24"/>
        </w:rPr>
        <w:t>) - показатель 2.</w:t>
      </w:r>
      <w:r w:rsidRPr="002525C1">
        <w:rPr>
          <w:rFonts w:cs="Times New Roman"/>
          <w:szCs w:val="24"/>
          <w:lang w:val="en-US"/>
        </w:rPr>
        <w:t>c</w:t>
      </w:r>
      <w:r w:rsidRPr="002525C1">
        <w:rPr>
          <w:rFonts w:cs="Times New Roman"/>
          <w:szCs w:val="24"/>
        </w:rPr>
        <w:t xml:space="preserve">.1 ЦУР как среднее арифметическое за </w:t>
      </w:r>
      <w:r w:rsidRPr="002525C1">
        <w:rPr>
          <w:rFonts w:cs="Times New Roman"/>
          <w:szCs w:val="24"/>
          <w:lang w:val="en-US"/>
        </w:rPr>
        <w:t>t</w:t>
      </w:r>
      <w:r w:rsidRPr="002525C1">
        <w:rPr>
          <w:rFonts w:cs="Times New Roman"/>
          <w:szCs w:val="24"/>
        </w:rPr>
        <w:t xml:space="preserve"> месяцев</w:t>
      </w:r>
      <w:r w:rsidR="005E2ABC" w:rsidRPr="002525C1">
        <w:rPr>
          <w:rFonts w:cs="Times New Roman"/>
          <w:szCs w:val="24"/>
        </w:rPr>
        <w:t>.</w:t>
      </w:r>
    </w:p>
    <w:p w14:paraId="253B1608" w14:textId="77777777" w:rsidR="009B3820" w:rsidRPr="002525C1" w:rsidRDefault="009B3820" w:rsidP="00A343D5">
      <w:pPr>
        <w:ind w:firstLine="540"/>
        <w:rPr>
          <w:rFonts w:cs="Times New Roman"/>
          <w:vanish/>
          <w:szCs w:val="24"/>
          <w:lang w:val="en-US"/>
        </w:rPr>
      </w:pPr>
      <w:r w:rsidRPr="002525C1">
        <w:rPr>
          <w:rFonts w:cs="Times New Roman"/>
          <w:szCs w:val="24"/>
        </w:rPr>
        <w:t xml:space="preserve"> </w:t>
      </w:r>
      <m:oMath>
        <m:sSub>
          <m:sSubPr>
            <m:ctrlPr>
              <w:rPr>
                <w:rFonts w:ascii="Cambria Math" w:hAnsi="Cambria Math" w:cs="Times New Roman"/>
                <w:i/>
                <w:iCs/>
                <w:szCs w:val="24"/>
              </w:rPr>
            </m:ctrlPr>
          </m:sSubPr>
          <m:e>
            <m:r>
              <w:rPr>
                <w:rFonts w:ascii="Cambria Math" w:hAnsi="Cambria Math" w:cs="Times New Roman"/>
                <w:szCs w:val="24"/>
                <w:lang w:val="en-US"/>
              </w:rPr>
              <m:t>IFPA</m:t>
            </m:r>
          </m:e>
          <m:sub>
            <m:r>
              <w:rPr>
                <w:rFonts w:ascii="Cambria Math" w:hAnsi="Cambria Math" w:cs="Times New Roman"/>
                <w:szCs w:val="24"/>
                <w:lang w:val="en-US"/>
              </w:rPr>
              <m:t>yt</m:t>
            </m:r>
          </m:sub>
        </m:sSub>
      </m:oMath>
      <w:r w:rsidRPr="002525C1">
        <w:rPr>
          <w:rFonts w:cs="Times New Roman"/>
          <w:vanish/>
          <w:szCs w:val="24"/>
          <w:lang w:val="en-US"/>
        </w:rPr>
        <w:t xml:space="preserve"> as follows:</w:t>
      </w:r>
    </w:p>
    <w:p w14:paraId="66C90187" w14:textId="77777777" w:rsidR="009B3820" w:rsidRPr="002525C1" w:rsidRDefault="009B3820" w:rsidP="00A343D5">
      <w:pPr>
        <w:ind w:firstLine="540"/>
        <w:rPr>
          <w:rFonts w:cs="Times New Roman"/>
          <w:vanish/>
          <w:szCs w:val="24"/>
          <w:lang w:val="en-US"/>
        </w:rPr>
      </w:pPr>
    </w:p>
    <w:p w14:paraId="484C82F7" w14:textId="77777777" w:rsidR="009B3820" w:rsidRPr="002525C1" w:rsidRDefault="0081039C" w:rsidP="00A343D5">
      <w:pPr>
        <w:rPr>
          <w:rFonts w:cs="Times New Roman"/>
          <w:szCs w:val="24"/>
          <w:lang w:val="en-US"/>
        </w:rPr>
      </w:pPr>
      <m:oMath>
        <m:sSub>
          <m:sSubPr>
            <m:ctrlPr>
              <w:rPr>
                <w:rFonts w:ascii="Cambria Math" w:hAnsi="Cambria Math" w:cs="Times New Roman"/>
                <w:i/>
                <w:iCs/>
                <w:szCs w:val="24"/>
              </w:rPr>
            </m:ctrlPr>
          </m:sSubPr>
          <m:e>
            <m:r>
              <w:rPr>
                <w:rFonts w:ascii="Cambria Math" w:hAnsi="Cambria Math" w:cs="Times New Roman"/>
                <w:szCs w:val="24"/>
                <w:lang w:val="en-US"/>
              </w:rPr>
              <m:t>IFPA</m:t>
            </m:r>
          </m:e>
          <m:sub>
            <m:r>
              <w:rPr>
                <w:rFonts w:ascii="Cambria Math" w:hAnsi="Cambria Math" w:cs="Times New Roman"/>
                <w:szCs w:val="24"/>
                <w:lang w:val="en-US"/>
              </w:rPr>
              <m:t>y</m:t>
            </m:r>
          </m:sub>
        </m:sSub>
        <m:r>
          <w:rPr>
            <w:rFonts w:ascii="Cambria Math" w:hAnsi="Cambria Math" w:cs="Times New Roman"/>
            <w:szCs w:val="24"/>
            <w:lang w:val="en-US"/>
          </w:rPr>
          <m:t>=</m:t>
        </m:r>
        <m:f>
          <m:fPr>
            <m:ctrlPr>
              <w:rPr>
                <w:rFonts w:ascii="Cambria Math" w:hAnsi="Cambria Math" w:cs="Times New Roman"/>
                <w:i/>
                <w:iCs/>
                <w:szCs w:val="24"/>
              </w:rPr>
            </m:ctrlPr>
          </m:fPr>
          <m:num>
            <m:r>
              <w:rPr>
                <w:rFonts w:ascii="Cambria Math" w:hAnsi="Cambria Math" w:cs="Times New Roman"/>
                <w:szCs w:val="24"/>
                <w:lang w:val="en-US"/>
              </w:rPr>
              <m:t>1</m:t>
            </m:r>
          </m:num>
          <m:den>
            <m:r>
              <w:rPr>
                <w:rFonts w:ascii="Cambria Math" w:hAnsi="Cambria Math" w:cs="Times New Roman"/>
                <w:szCs w:val="24"/>
                <w:lang w:val="en-US"/>
              </w:rPr>
              <m:t>t</m:t>
            </m:r>
          </m:den>
        </m:f>
        <m:nary>
          <m:naryPr>
            <m:chr m:val="∑"/>
            <m:limLoc m:val="undOvr"/>
            <m:ctrlPr>
              <w:rPr>
                <w:rFonts w:ascii="Cambria Math" w:hAnsi="Cambria Math" w:cs="Times New Roman"/>
                <w:i/>
                <w:iCs/>
                <w:szCs w:val="24"/>
              </w:rPr>
            </m:ctrlPr>
          </m:naryPr>
          <m:sub>
            <m:r>
              <w:rPr>
                <w:rFonts w:ascii="Cambria Math" w:hAnsi="Cambria Math" w:cs="Times New Roman"/>
                <w:szCs w:val="24"/>
                <w:lang w:val="en-US"/>
              </w:rPr>
              <m:t>i</m:t>
            </m:r>
            <m:r>
              <w:rPr>
                <w:rFonts w:ascii="Cambria Math" w:hAnsi="Cambria Math" w:cs="Times New Roman"/>
                <w:szCs w:val="24"/>
                <w:lang w:val="en-US"/>
              </w:rPr>
              <m:t>=1</m:t>
            </m:r>
          </m:sub>
          <m:sup>
            <m:r>
              <w:rPr>
                <w:rFonts w:ascii="Cambria Math" w:hAnsi="Cambria Math" w:cs="Times New Roman"/>
                <w:szCs w:val="24"/>
                <w:lang w:val="en-US"/>
              </w:rPr>
              <m:t>t</m:t>
            </m:r>
          </m:sup>
          <m:e>
            <m:sSub>
              <m:sSubPr>
                <m:ctrlPr>
                  <w:rPr>
                    <w:rFonts w:ascii="Cambria Math" w:hAnsi="Cambria Math" w:cs="Times New Roman"/>
                    <w:i/>
                    <w:iCs/>
                    <w:szCs w:val="24"/>
                  </w:rPr>
                </m:ctrlPr>
              </m:sSubPr>
              <m:e>
                <m:r>
                  <w:rPr>
                    <w:rFonts w:ascii="Cambria Math" w:hAnsi="Cambria Math" w:cs="Times New Roman"/>
                    <w:szCs w:val="24"/>
                    <w:lang w:val="en-US"/>
                  </w:rPr>
                  <m:t>IFPA</m:t>
                </m:r>
              </m:e>
              <m:sub>
                <m:r>
                  <w:rPr>
                    <w:rFonts w:ascii="Cambria Math" w:hAnsi="Cambria Math" w:cs="Times New Roman"/>
                    <w:szCs w:val="24"/>
                    <w:lang w:val="en-US"/>
                  </w:rPr>
                  <m:t>yt</m:t>
                </m:r>
              </m:sub>
            </m:sSub>
          </m:e>
        </m:nary>
      </m:oMath>
      <w:r w:rsidR="005E2ABC" w:rsidRPr="002525C1">
        <w:rPr>
          <w:rFonts w:cs="Times New Roman"/>
          <w:szCs w:val="24"/>
          <w:lang w:val="en-US"/>
        </w:rPr>
        <w:t xml:space="preserve"> </w:t>
      </w:r>
      <w:r w:rsidR="005E2ABC" w:rsidRPr="002525C1">
        <w:rPr>
          <w:rFonts w:cs="Times New Roman"/>
          <w:szCs w:val="24"/>
          <w:lang w:val="en-US"/>
        </w:rPr>
        <w:tab/>
      </w:r>
      <w:r w:rsidR="005E2ABC" w:rsidRPr="002525C1">
        <w:rPr>
          <w:rFonts w:cs="Times New Roman"/>
          <w:szCs w:val="24"/>
          <w:lang w:val="en-US"/>
        </w:rPr>
        <w:tab/>
      </w:r>
      <w:r w:rsidR="005E2ABC" w:rsidRPr="002525C1">
        <w:rPr>
          <w:rFonts w:cs="Times New Roman"/>
          <w:szCs w:val="24"/>
          <w:lang w:val="en-US"/>
        </w:rPr>
        <w:tab/>
      </w:r>
      <w:r w:rsidR="005E2ABC" w:rsidRPr="002525C1">
        <w:rPr>
          <w:rFonts w:cs="Times New Roman"/>
          <w:szCs w:val="24"/>
          <w:lang w:val="en-US"/>
        </w:rPr>
        <w:tab/>
      </w:r>
      <w:r w:rsidR="005E2ABC" w:rsidRPr="002525C1">
        <w:rPr>
          <w:rFonts w:cs="Times New Roman"/>
          <w:szCs w:val="24"/>
          <w:lang w:val="en-US"/>
        </w:rPr>
        <w:tab/>
      </w:r>
      <w:r w:rsidR="005E2ABC" w:rsidRPr="002525C1">
        <w:rPr>
          <w:rFonts w:cs="Times New Roman"/>
          <w:szCs w:val="24"/>
          <w:lang w:val="en-US"/>
        </w:rPr>
        <w:tab/>
      </w:r>
      <w:r w:rsidR="005E2ABC" w:rsidRPr="002525C1">
        <w:rPr>
          <w:rFonts w:cs="Times New Roman"/>
          <w:szCs w:val="24"/>
          <w:lang w:val="en-US"/>
        </w:rPr>
        <w:tab/>
      </w:r>
      <w:r w:rsidR="009B3820" w:rsidRPr="002525C1">
        <w:rPr>
          <w:rFonts w:cs="Times New Roman"/>
          <w:szCs w:val="24"/>
          <w:lang w:val="en-US"/>
        </w:rPr>
        <w:t>(4)</w:t>
      </w:r>
    </w:p>
    <w:p w14:paraId="3A491F4A" w14:textId="77777777" w:rsidR="009B3820" w:rsidRPr="002525C1" w:rsidRDefault="005E2ABC" w:rsidP="00A343D5">
      <w:pPr>
        <w:rPr>
          <w:rFonts w:cs="Times New Roman"/>
          <w:szCs w:val="24"/>
        </w:rPr>
      </w:pPr>
      <w:r w:rsidRPr="002525C1">
        <w:rPr>
          <w:rFonts w:cs="Times New Roman"/>
          <w:szCs w:val="24"/>
        </w:rPr>
        <w:t>Где</w:t>
      </w:r>
      <w:r w:rsidR="009B3820" w:rsidRPr="002525C1">
        <w:rPr>
          <w:rFonts w:cs="Times New Roman"/>
          <w:szCs w:val="24"/>
        </w:rPr>
        <w:t xml:space="preserve">: </w:t>
      </w:r>
    </w:p>
    <w:p w14:paraId="22422064" w14:textId="77777777" w:rsidR="009B3820" w:rsidRPr="002525C1" w:rsidRDefault="0081039C" w:rsidP="00A343D5">
      <w:pPr>
        <w:rPr>
          <w:rFonts w:cs="Times New Roman"/>
          <w:szCs w:val="24"/>
        </w:rPr>
      </w:pPr>
      <m:oMath>
        <m:sSub>
          <m:sSubPr>
            <m:ctrlPr>
              <w:rPr>
                <w:rFonts w:ascii="Cambria Math" w:hAnsi="Cambria Math" w:cs="Times New Roman"/>
                <w:i/>
                <w:iCs/>
                <w:szCs w:val="24"/>
              </w:rPr>
            </m:ctrlPr>
          </m:sSubPr>
          <m:e>
            <m:r>
              <w:rPr>
                <w:rFonts w:ascii="Cambria Math" w:hAnsi="Cambria Math" w:cs="Times New Roman"/>
                <w:szCs w:val="24"/>
                <w:lang w:val="en-US"/>
              </w:rPr>
              <m:t>IFPA</m:t>
            </m:r>
          </m:e>
          <m:sub>
            <m:r>
              <w:rPr>
                <w:rFonts w:ascii="Cambria Math" w:hAnsi="Cambria Math" w:cs="Times New Roman"/>
                <w:szCs w:val="24"/>
                <w:lang w:val="en-US"/>
              </w:rPr>
              <m:t>y</m:t>
            </m:r>
          </m:sub>
        </m:sSub>
      </m:oMath>
      <w:r w:rsidR="009B3820" w:rsidRPr="002525C1">
        <w:rPr>
          <w:rFonts w:cs="Times New Roman"/>
          <w:szCs w:val="24"/>
        </w:rPr>
        <w:t xml:space="preserve"> </w:t>
      </w:r>
      <w:r w:rsidR="005E2ABC" w:rsidRPr="002525C1">
        <w:rPr>
          <w:rFonts w:cs="Times New Roman"/>
          <w:szCs w:val="24"/>
        </w:rPr>
        <w:t>- годовой индикатор аномалий цен на продовольствие в году y</w:t>
      </w:r>
      <w:r w:rsidR="009B3820" w:rsidRPr="002525C1">
        <w:rPr>
          <w:rFonts w:cs="Times New Roman"/>
          <w:szCs w:val="24"/>
        </w:rPr>
        <w:t xml:space="preserve"> </w:t>
      </w:r>
    </w:p>
    <w:p w14:paraId="5DE1733E" w14:textId="77777777" w:rsidR="009B3820" w:rsidRPr="002525C1" w:rsidRDefault="0081039C" w:rsidP="00A343D5">
      <w:pPr>
        <w:rPr>
          <w:rFonts w:cs="Times New Roman"/>
          <w:szCs w:val="24"/>
        </w:rPr>
      </w:pPr>
      <m:oMath>
        <m:sSub>
          <m:sSubPr>
            <m:ctrlPr>
              <w:rPr>
                <w:rFonts w:ascii="Cambria Math" w:hAnsi="Cambria Math" w:cs="Times New Roman"/>
                <w:i/>
                <w:iCs/>
                <w:szCs w:val="24"/>
              </w:rPr>
            </m:ctrlPr>
          </m:sSubPr>
          <m:e>
            <m:r>
              <w:rPr>
                <w:rFonts w:ascii="Cambria Math" w:hAnsi="Cambria Math" w:cs="Times New Roman"/>
                <w:szCs w:val="24"/>
                <w:lang w:val="en-US"/>
              </w:rPr>
              <m:t>IFPA</m:t>
            </m:r>
          </m:e>
          <m:sub>
            <m:r>
              <w:rPr>
                <w:rFonts w:ascii="Cambria Math" w:hAnsi="Cambria Math" w:cs="Times New Roman"/>
                <w:szCs w:val="24"/>
                <w:lang w:val="en-US"/>
              </w:rPr>
              <m:t>yt</m:t>
            </m:r>
          </m:sub>
        </m:sSub>
      </m:oMath>
      <w:r w:rsidR="009B3820" w:rsidRPr="002525C1">
        <w:rPr>
          <w:rFonts w:cs="Times New Roman"/>
          <w:iCs/>
          <w:szCs w:val="24"/>
        </w:rPr>
        <w:t xml:space="preserve"> </w:t>
      </w:r>
      <w:r w:rsidR="005E2ABC" w:rsidRPr="002525C1">
        <w:rPr>
          <w:rFonts w:cs="Times New Roman"/>
          <w:iCs/>
          <w:szCs w:val="24"/>
        </w:rPr>
        <w:t>- индикатор аномалий цен на продовольствие в год y и месяц t</w:t>
      </w:r>
    </w:p>
    <w:p w14:paraId="2D0F0657" w14:textId="77777777" w:rsidR="009B3820" w:rsidRDefault="009B3820" w:rsidP="00A343D5">
      <w:pPr>
        <w:rPr>
          <w:rFonts w:cs="Times New Roman"/>
          <w:szCs w:val="24"/>
        </w:rPr>
      </w:pPr>
      <m:oMath>
        <m:r>
          <w:rPr>
            <w:rFonts w:ascii="Cambria Math" w:hAnsi="Cambria Math" w:cs="Times New Roman"/>
            <w:szCs w:val="24"/>
            <w:lang w:val="en-US"/>
          </w:rPr>
          <m:t>t</m:t>
        </m:r>
      </m:oMath>
      <w:r w:rsidRPr="002525C1">
        <w:rPr>
          <w:rFonts w:cs="Times New Roman"/>
          <w:szCs w:val="24"/>
        </w:rPr>
        <w:t xml:space="preserve">  </w:t>
      </w:r>
      <w:r w:rsidR="005E2ABC" w:rsidRPr="002525C1">
        <w:rPr>
          <w:rFonts w:cs="Times New Roman"/>
          <w:szCs w:val="24"/>
        </w:rPr>
        <w:t>- количество месяцев в году</w:t>
      </w:r>
    </w:p>
    <w:p w14:paraId="4EAEC0E8" w14:textId="77777777" w:rsidR="00A1741A" w:rsidRPr="002525C1" w:rsidRDefault="00A1741A" w:rsidP="00A343D5">
      <w:pPr>
        <w:rPr>
          <w:rFonts w:cs="Times New Roman"/>
          <w:szCs w:val="24"/>
        </w:rPr>
      </w:pPr>
      <w:bookmarkStart w:id="5" w:name="_GoBack"/>
      <w:bookmarkEnd w:id="5"/>
    </w:p>
    <w:p w14:paraId="3472F1E7" w14:textId="77777777" w:rsidR="002E15F9" w:rsidRPr="00A343D5" w:rsidRDefault="002E15F9" w:rsidP="00A343D5">
      <w:pPr>
        <w:pStyle w:val="MHeader2"/>
        <w:pBdr>
          <w:bottom w:val="single" w:sz="12" w:space="3" w:color="DDDDDD"/>
        </w:pBdr>
        <w:spacing w:line="276" w:lineRule="auto"/>
        <w:rPr>
          <w:color w:val="auto"/>
          <w:sz w:val="24"/>
          <w:szCs w:val="24"/>
          <w:lang w:val="ru-RU"/>
        </w:rPr>
      </w:pPr>
      <w:r w:rsidRPr="00A343D5">
        <w:rPr>
          <w:color w:val="auto"/>
          <w:sz w:val="24"/>
          <w:szCs w:val="24"/>
          <w:lang w:val="ru-RU"/>
        </w:rPr>
        <w:lastRenderedPageBreak/>
        <w:t>4.</w:t>
      </w:r>
      <w:r w:rsidRPr="00A343D5">
        <w:rPr>
          <w:color w:val="auto"/>
          <w:sz w:val="24"/>
          <w:szCs w:val="24"/>
        </w:rPr>
        <w:t>d</w:t>
      </w:r>
      <w:r w:rsidRPr="00A343D5">
        <w:rPr>
          <w:color w:val="auto"/>
          <w:sz w:val="24"/>
          <w:szCs w:val="24"/>
          <w:lang w:val="ru-RU"/>
        </w:rPr>
        <w:t xml:space="preserve">. </w:t>
      </w:r>
      <w:proofErr w:type="spellStart"/>
      <w:r w:rsidR="00694160" w:rsidRPr="00A343D5">
        <w:rPr>
          <w:b/>
          <w:color w:val="auto"/>
          <w:sz w:val="24"/>
          <w:szCs w:val="24"/>
          <w:lang w:val="ru-RU"/>
        </w:rPr>
        <w:t>Валидация</w:t>
      </w:r>
      <w:proofErr w:type="spellEnd"/>
    </w:p>
    <w:p w14:paraId="38B6EA88" w14:textId="77777777" w:rsidR="00F66E7B" w:rsidRPr="00A343D5" w:rsidRDefault="00F66E7B" w:rsidP="00A343D5">
      <w:pPr>
        <w:rPr>
          <w:rFonts w:cs="Times New Roman"/>
        </w:rPr>
      </w:pPr>
      <w:r w:rsidRPr="00A343D5">
        <w:rPr>
          <w:rFonts w:cs="Times New Roman"/>
        </w:rPr>
        <w:t>Не применимо.</w:t>
      </w:r>
    </w:p>
    <w:p w14:paraId="5C504569" w14:textId="77777777"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e</w:t>
      </w:r>
      <w:r w:rsidRPr="00A343D5">
        <w:rPr>
          <w:color w:val="auto"/>
          <w:sz w:val="24"/>
          <w:szCs w:val="24"/>
          <w:lang w:val="ru-RU"/>
        </w:rPr>
        <w:t xml:space="preserve">. </w:t>
      </w:r>
      <w:r w:rsidR="00694160" w:rsidRPr="00A343D5">
        <w:rPr>
          <w:b/>
          <w:color w:val="auto"/>
          <w:sz w:val="24"/>
          <w:szCs w:val="24"/>
          <w:lang w:val="ru-RU"/>
        </w:rPr>
        <w:t>Корректировки</w:t>
      </w:r>
    </w:p>
    <w:p w14:paraId="0E83BD77" w14:textId="77777777" w:rsidR="00647C5F" w:rsidRPr="00A343D5" w:rsidRDefault="00F66E7B" w:rsidP="00A343D5">
      <w:pPr>
        <w:rPr>
          <w:rFonts w:cs="Times New Roman"/>
        </w:rPr>
      </w:pPr>
      <w:r w:rsidRPr="00A343D5">
        <w:rPr>
          <w:rFonts w:cs="Times New Roman"/>
        </w:rPr>
        <w:t xml:space="preserve">Не применимо. </w:t>
      </w:r>
    </w:p>
    <w:p w14:paraId="6F083C6B" w14:textId="77777777"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f</w:t>
      </w:r>
      <w:r w:rsidRPr="00A343D5">
        <w:rPr>
          <w:color w:val="auto"/>
          <w:sz w:val="24"/>
          <w:szCs w:val="24"/>
          <w:lang w:val="ru-RU"/>
        </w:rPr>
        <w:t xml:space="preserve">. </w:t>
      </w:r>
      <w:r w:rsidR="00694160" w:rsidRPr="00A343D5">
        <w:rPr>
          <w:b/>
          <w:color w:val="auto"/>
          <w:sz w:val="24"/>
          <w:szCs w:val="24"/>
          <w:lang w:val="ru-RU"/>
        </w:rPr>
        <w:t>Обработка отсутствующих значений (</w:t>
      </w:r>
      <w:proofErr w:type="spellStart"/>
      <w:r w:rsidR="00694160" w:rsidRPr="00A343D5">
        <w:rPr>
          <w:b/>
          <w:color w:val="auto"/>
          <w:sz w:val="24"/>
          <w:szCs w:val="24"/>
        </w:rPr>
        <w:t>i</w:t>
      </w:r>
      <w:proofErr w:type="spellEnd"/>
      <w:r w:rsidR="00694160" w:rsidRPr="00A343D5">
        <w:rPr>
          <w:b/>
          <w:color w:val="auto"/>
          <w:sz w:val="24"/>
          <w:szCs w:val="24"/>
          <w:lang w:val="ru-RU"/>
        </w:rPr>
        <w:t>) на уровне страны и (</w:t>
      </w:r>
      <w:r w:rsidR="00694160" w:rsidRPr="00A343D5">
        <w:rPr>
          <w:b/>
          <w:color w:val="auto"/>
          <w:sz w:val="24"/>
          <w:szCs w:val="24"/>
        </w:rPr>
        <w:t>ii</w:t>
      </w:r>
      <w:r w:rsidR="00694160" w:rsidRPr="00A343D5">
        <w:rPr>
          <w:b/>
          <w:color w:val="auto"/>
          <w:sz w:val="24"/>
          <w:szCs w:val="24"/>
          <w:lang w:val="ru-RU"/>
        </w:rPr>
        <w:t>) на региональном уровне</w:t>
      </w:r>
    </w:p>
    <w:p w14:paraId="2A02CBEF" w14:textId="77777777" w:rsidR="00647C5F" w:rsidRPr="00A343D5" w:rsidRDefault="00647C5F" w:rsidP="00A343D5">
      <w:pPr>
        <w:rPr>
          <w:rFonts w:cs="Times New Roman"/>
        </w:rPr>
      </w:pPr>
      <w:r w:rsidRPr="00A343D5">
        <w:rPr>
          <w:rFonts w:cs="Times New Roman"/>
        </w:rPr>
        <w:t>• На уровне страны</w:t>
      </w:r>
    </w:p>
    <w:p w14:paraId="48565B6D" w14:textId="77777777" w:rsidR="00D644B9" w:rsidRPr="00A343D5" w:rsidRDefault="00D644B9" w:rsidP="00A343D5">
      <w:pPr>
        <w:rPr>
          <w:rFonts w:cs="Times New Roman"/>
        </w:rPr>
      </w:pPr>
      <w:r w:rsidRPr="00A343D5">
        <w:rPr>
          <w:rFonts w:cs="Times New Roman"/>
        </w:rPr>
        <w:t>Для внутренних цен на продовольственные товары статистика представляют собой повторно опубликованные данные, полученные от национальных правительственных организаций, без исчисления недостающих значений. Для целей индикатора, если данные за более чем 3 месяца подряд отсутствуют или если доступны за менее чем 5 лет, ряд может быть исключен из мониторинга.</w:t>
      </w:r>
    </w:p>
    <w:p w14:paraId="33FE4901" w14:textId="77777777" w:rsidR="00D644B9" w:rsidRPr="00A343D5" w:rsidRDefault="00D644B9" w:rsidP="00A343D5">
      <w:pPr>
        <w:rPr>
          <w:rFonts w:cs="Times New Roman"/>
        </w:rPr>
      </w:pPr>
      <w:r w:rsidRPr="00A343D5">
        <w:rPr>
          <w:rFonts w:cs="Times New Roman"/>
        </w:rPr>
        <w:t>Для индекса цен на продовольствие в FAOSTAT данные представляют собой повторно опубликованные данные, полученные от других международных организаций, без вменения пропущенных значений. Для целей индикатора, если данные за более чем 3 месяца подряд отсутствуют или если доступны менее 5 лет, ряд может быть исключен из мониторинга.</w:t>
      </w:r>
    </w:p>
    <w:p w14:paraId="3D436E20" w14:textId="77777777" w:rsidR="00647C5F" w:rsidRPr="00A343D5" w:rsidRDefault="00647C5F" w:rsidP="00A343D5">
      <w:pPr>
        <w:rPr>
          <w:rFonts w:cs="Times New Roman"/>
        </w:rPr>
      </w:pPr>
      <w:r w:rsidRPr="00A343D5">
        <w:rPr>
          <w:rFonts w:cs="Times New Roman"/>
        </w:rPr>
        <w:t>• На региональном и глобальном уровнях</w:t>
      </w:r>
    </w:p>
    <w:p w14:paraId="5EE49565" w14:textId="77777777" w:rsidR="00D644B9" w:rsidRPr="00A343D5" w:rsidRDefault="00D644B9" w:rsidP="00A343D5">
      <w:pPr>
        <w:rPr>
          <w:rFonts w:cs="Times New Roman"/>
        </w:rPr>
      </w:pPr>
      <w:r w:rsidRPr="00A343D5">
        <w:rPr>
          <w:rFonts w:cs="Times New Roman"/>
        </w:rPr>
        <w:t>Не применимо.</w:t>
      </w:r>
    </w:p>
    <w:p w14:paraId="02442062" w14:textId="77777777"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g</w:t>
      </w:r>
      <w:r w:rsidRPr="00A343D5">
        <w:rPr>
          <w:color w:val="auto"/>
          <w:sz w:val="24"/>
          <w:szCs w:val="24"/>
          <w:lang w:val="ru-RU"/>
        </w:rPr>
        <w:t xml:space="preserve">. </w:t>
      </w:r>
      <w:r w:rsidR="00E27922" w:rsidRPr="00A343D5">
        <w:rPr>
          <w:b/>
          <w:color w:val="auto"/>
          <w:sz w:val="24"/>
          <w:szCs w:val="24"/>
          <w:lang w:val="ru-RU"/>
        </w:rPr>
        <w:t>Региональное агрегирование</w:t>
      </w:r>
      <w:r w:rsidR="00E27922" w:rsidRPr="00A343D5">
        <w:rPr>
          <w:color w:val="auto"/>
          <w:sz w:val="24"/>
          <w:szCs w:val="24"/>
          <w:lang w:val="ru-RU"/>
        </w:rPr>
        <w:t xml:space="preserve"> </w:t>
      </w:r>
    </w:p>
    <w:p w14:paraId="0A9AF72B" w14:textId="77777777" w:rsidR="00D644B9" w:rsidRPr="00A343D5" w:rsidRDefault="00D644B9" w:rsidP="00A343D5">
      <w:pPr>
        <w:rPr>
          <w:rFonts w:cs="Times New Roman"/>
        </w:rPr>
      </w:pPr>
      <w:r w:rsidRPr="00A343D5">
        <w:rPr>
          <w:rFonts w:cs="Times New Roman"/>
          <w:b/>
        </w:rPr>
        <w:t>Индекс потребительских цен на продукты питания</w:t>
      </w:r>
      <w:r w:rsidRPr="00A343D5">
        <w:rPr>
          <w:rFonts w:cs="Times New Roman"/>
        </w:rPr>
        <w:t>: результаты систематизированы по регионам, но значения IFPA не агрегированы как таковые. Единица показателя, предусмотренная для каждого региона, вместо этого представляет долю стран с аномально высокими или умеренно высокими ценами на продовольствие в каждом регионе.</w:t>
      </w:r>
    </w:p>
    <w:p w14:paraId="7608DC80" w14:textId="77777777" w:rsidR="00D644B9" w:rsidRPr="00A343D5" w:rsidRDefault="00D644B9" w:rsidP="00A343D5">
      <w:pPr>
        <w:rPr>
          <w:rFonts w:cs="Times New Roman"/>
        </w:rPr>
      </w:pPr>
      <w:r w:rsidRPr="00A343D5">
        <w:rPr>
          <w:rFonts w:cs="Times New Roman"/>
          <w:b/>
        </w:rPr>
        <w:t>Пять основных товаров (кукуруза, рис, пшеница, сорго, просо):</w:t>
      </w:r>
      <w:r w:rsidRPr="00A343D5">
        <w:rPr>
          <w:rFonts w:cs="Times New Roman"/>
        </w:rPr>
        <w:t xml:space="preserve"> результаты систематизированы не на региональной основе, а на уровне страны. Это связано с тем, что товары и продовольственные корзины, отслеживаемые в разных странах, недостаточно однородны, чтобы их можно было объединить в единый индекс цен. Однако если большинство стран в пределах региона представляют аномально высокие цены либо на конкретный товар, либо на индекс цен на продукты питания, этот регион квалифицируется как регион с высокими ценами.</w:t>
      </w:r>
    </w:p>
    <w:p w14:paraId="4D000DF4" w14:textId="77777777" w:rsidR="00D644B9" w:rsidRPr="00A343D5" w:rsidRDefault="00D644B9" w:rsidP="00A343D5">
      <w:pPr>
        <w:rPr>
          <w:rFonts w:cs="Times New Roman"/>
        </w:rPr>
      </w:pPr>
      <w:r w:rsidRPr="00A343D5">
        <w:rPr>
          <w:rFonts w:cs="Times New Roman"/>
        </w:rPr>
        <w:t>Источники расхождений:</w:t>
      </w:r>
    </w:p>
    <w:p w14:paraId="1624371D" w14:textId="77777777" w:rsidR="00D644B9" w:rsidRPr="00A343D5" w:rsidRDefault="00D644B9" w:rsidP="00A343D5">
      <w:pPr>
        <w:rPr>
          <w:rFonts w:cs="Times New Roman"/>
        </w:rPr>
      </w:pPr>
      <w:r w:rsidRPr="00A343D5">
        <w:rPr>
          <w:rFonts w:cs="Times New Roman"/>
        </w:rPr>
        <w:t xml:space="preserve">Для расчета показателя ФАО полагается на индексы цен на продовольствие, представленные в FAOSTAT, а также на имеющиеся официальные данные о внутренних </w:t>
      </w:r>
      <w:r w:rsidRPr="00A343D5">
        <w:rPr>
          <w:rFonts w:cs="Times New Roman"/>
        </w:rPr>
        <w:lastRenderedPageBreak/>
        <w:t>ценах на продовольствие, которые организация собирает в инструменте мониторинга и анализа цен на продовольствие (FPMA). База данных FPMA объединяет ряды цен на основные продовольственные товары (в основном зерновые) на отдельных рынках в странах по всему миру. В результате показатель, рассчитываемый ФАО, может отличаться от показателя, рассчитанного на уровне страны, поскольку он может быть рассчитан на основе других рыночных цен.</w:t>
      </w:r>
    </w:p>
    <w:p w14:paraId="0663157A" w14:textId="77777777"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h</w:t>
      </w:r>
      <w:r w:rsidRPr="00A343D5">
        <w:rPr>
          <w:color w:val="auto"/>
          <w:sz w:val="24"/>
          <w:szCs w:val="24"/>
          <w:lang w:val="ru-RU"/>
        </w:rPr>
        <w:t xml:space="preserve">. </w:t>
      </w:r>
      <w:r w:rsidR="00E27922" w:rsidRPr="00A343D5">
        <w:rPr>
          <w:b/>
          <w:color w:val="auto"/>
          <w:sz w:val="24"/>
          <w:szCs w:val="24"/>
          <w:lang w:val="ru-RU"/>
        </w:rPr>
        <w:t>Доступные странам методы для сбора данных на национальном уровне</w:t>
      </w:r>
    </w:p>
    <w:p w14:paraId="223B96CE" w14:textId="77777777" w:rsidR="00990634" w:rsidRPr="00A343D5" w:rsidRDefault="00990634" w:rsidP="00A343D5">
      <w:pPr>
        <w:rPr>
          <w:rFonts w:cs="Times New Roman"/>
        </w:rPr>
      </w:pPr>
      <w:r w:rsidRPr="00A343D5">
        <w:rPr>
          <w:rFonts w:cs="Times New Roman"/>
        </w:rPr>
        <w:t>Интерактивный курс электронного обучения доступен по Показателю 2.c.1 ЦУР - Аномалии цен на продовольствие, чтобы дополнить усилия стран по мониторингу Повестки дня на период до 2030 года и расширить понимание предмета. Курс охватывает основные концепции, связанные с функционированием рынка, определением цен и волатильностью цен, и объясняет, как рассчитать индикатор и использовать онлайн-инструмент мониторинга и анализа цен на продукты питания (FPMA) для интерпретации результатов индикаторов на национальном и международном уровнях. Помимо английского, онлайн-версия этого курса также доступна на русском, французском и испанском языках.</w:t>
      </w:r>
    </w:p>
    <w:p w14:paraId="63151A20" w14:textId="77777777" w:rsidR="002E15F9" w:rsidRPr="00A343D5" w:rsidRDefault="002E15F9" w:rsidP="00A343D5">
      <w:pPr>
        <w:pStyle w:val="MHeader2"/>
        <w:spacing w:line="276" w:lineRule="auto"/>
        <w:rPr>
          <w:b/>
          <w:color w:val="auto"/>
          <w:sz w:val="24"/>
          <w:szCs w:val="24"/>
          <w:lang w:val="ru-RU"/>
        </w:rPr>
      </w:pPr>
      <w:r w:rsidRPr="00A343D5">
        <w:rPr>
          <w:color w:val="auto"/>
          <w:sz w:val="24"/>
          <w:szCs w:val="24"/>
          <w:lang w:val="ru-RU"/>
        </w:rPr>
        <w:t>4.</w:t>
      </w:r>
      <w:proofErr w:type="spellStart"/>
      <w:r w:rsidRPr="00A343D5">
        <w:rPr>
          <w:color w:val="auto"/>
          <w:sz w:val="24"/>
          <w:szCs w:val="24"/>
        </w:rPr>
        <w:t>i</w:t>
      </w:r>
      <w:proofErr w:type="spellEnd"/>
      <w:r w:rsidRPr="00A343D5">
        <w:rPr>
          <w:color w:val="auto"/>
          <w:sz w:val="24"/>
          <w:szCs w:val="24"/>
          <w:lang w:val="ru-RU"/>
        </w:rPr>
        <w:t xml:space="preserve">. </w:t>
      </w:r>
      <w:r w:rsidR="00E27922" w:rsidRPr="00A343D5">
        <w:rPr>
          <w:b/>
          <w:color w:val="auto"/>
          <w:sz w:val="24"/>
          <w:szCs w:val="24"/>
          <w:lang w:val="ru-RU"/>
        </w:rPr>
        <w:t>Управление качеством</w:t>
      </w:r>
    </w:p>
    <w:p w14:paraId="3B982DCB" w14:textId="77777777" w:rsidR="00990634" w:rsidRPr="00A343D5" w:rsidRDefault="00990634" w:rsidP="00A343D5">
      <w:pPr>
        <w:rPr>
          <w:rFonts w:cs="Times New Roman"/>
        </w:rPr>
      </w:pPr>
      <w:r w:rsidRPr="00A343D5">
        <w:rPr>
          <w:rFonts w:cs="Times New Roman"/>
        </w:rPr>
        <w:t>ФАО отвечает за качество внутренних статистических процессов, используемых для компиляции публикуемых наборов данных. Система обеспечения качества статистики ФАО (SQAF), доступная по адресу: http://www.fao.org/docrep/019/i3664e/i3664e.pdf, содержит необходимые принципы, руководящие указания и инструменты для проведения оценки качества. ФАО проводит внутреннее двухгодичное обследование (обследование ФАО по оценке качества и планированию), предназначенное для сбора информации обо всей статистической деятельности ФАО, в частности, для оценки степени соблюдения стандартов качества с целью более строгого соблюдения параметров качества. SQAF, документируя передовой опыт и готовя планы по улучшению качества, где это необходимо. Мероприятия по обеспечению качества в конкретных областях проводятся систематически (например, обзоры качества, самооценка, мониторинг соблюдения).</w:t>
      </w:r>
    </w:p>
    <w:p w14:paraId="58219B5D" w14:textId="77777777"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j</w:t>
      </w:r>
      <w:r w:rsidR="00E27922" w:rsidRPr="00A343D5">
        <w:rPr>
          <w:color w:val="auto"/>
          <w:sz w:val="24"/>
          <w:szCs w:val="24"/>
          <w:lang w:val="ru-RU"/>
        </w:rPr>
        <w:t>.</w:t>
      </w:r>
      <w:r w:rsidRPr="00A343D5">
        <w:rPr>
          <w:color w:val="auto"/>
          <w:sz w:val="24"/>
          <w:szCs w:val="24"/>
          <w:lang w:val="ru-RU"/>
        </w:rPr>
        <w:t xml:space="preserve"> </w:t>
      </w:r>
      <w:r w:rsidR="00E27922" w:rsidRPr="00A343D5">
        <w:rPr>
          <w:b/>
          <w:color w:val="auto"/>
          <w:sz w:val="24"/>
          <w:szCs w:val="24"/>
          <w:lang w:val="ru-RU"/>
        </w:rPr>
        <w:t>Обеспечение качества</w:t>
      </w:r>
    </w:p>
    <w:p w14:paraId="1C5217BA" w14:textId="77777777" w:rsidR="00990634" w:rsidRPr="00A343D5" w:rsidRDefault="00990634" w:rsidP="00A343D5">
      <w:pPr>
        <w:pStyle w:val="MText"/>
        <w:rPr>
          <w:color w:val="auto"/>
          <w:sz w:val="24"/>
          <w:szCs w:val="24"/>
          <w:lang w:val="ru-RU"/>
        </w:rPr>
      </w:pPr>
      <w:r w:rsidRPr="00A343D5">
        <w:rPr>
          <w:color w:val="auto"/>
          <w:sz w:val="24"/>
          <w:szCs w:val="24"/>
          <w:lang w:val="ru-RU"/>
        </w:rPr>
        <w:t>• Индикатор рассчитывается на основе данных о ценах на продукты питания, которые собираются из официальных источников, как и для индекса цен на продукты питания, публикуемого в FAOSTAT. Чтобы обеспечить правильный расчет индикатора, процесс расчета индикатора происходит в автоматизированной системе.</w:t>
      </w:r>
    </w:p>
    <w:p w14:paraId="1465055A" w14:textId="77777777" w:rsidR="00990634" w:rsidRPr="00A343D5" w:rsidRDefault="00990634" w:rsidP="00A343D5">
      <w:pPr>
        <w:pStyle w:val="MText"/>
        <w:rPr>
          <w:color w:val="auto"/>
          <w:sz w:val="24"/>
          <w:szCs w:val="24"/>
          <w:lang w:val="ru-RU"/>
        </w:rPr>
      </w:pPr>
      <w:r w:rsidRPr="00A343D5">
        <w:rPr>
          <w:color w:val="auto"/>
          <w:sz w:val="24"/>
          <w:szCs w:val="24"/>
          <w:lang w:val="ru-RU"/>
        </w:rPr>
        <w:t>• По запросу ФАО оказывает странам поддержку во внедрении индикатора и интерпретации результатов. Кроме того, по запросу в стране проводится обучение.</w:t>
      </w:r>
    </w:p>
    <w:p w14:paraId="028B0BD1" w14:textId="77777777" w:rsidR="002E15F9" w:rsidRPr="006820AC" w:rsidRDefault="0075371E" w:rsidP="002525C1">
      <w:pPr>
        <w:pStyle w:val="MHeader"/>
        <w:rPr>
          <w:b/>
          <w:color w:val="auto"/>
          <w:sz w:val="24"/>
          <w:lang w:val="ru-RU"/>
        </w:rPr>
      </w:pPr>
      <w:r w:rsidRPr="006820AC">
        <w:rPr>
          <w:b/>
          <w:color w:val="auto"/>
          <w:sz w:val="24"/>
          <w:lang w:val="ru-RU"/>
        </w:rPr>
        <w:t>4.</w:t>
      </w:r>
      <w:r w:rsidRPr="002525C1">
        <w:rPr>
          <w:b/>
          <w:color w:val="auto"/>
          <w:sz w:val="24"/>
        </w:rPr>
        <w:t>k</w:t>
      </w:r>
      <w:r w:rsidRPr="006820AC">
        <w:rPr>
          <w:b/>
          <w:color w:val="auto"/>
          <w:sz w:val="24"/>
          <w:lang w:val="ru-RU"/>
        </w:rPr>
        <w:t xml:space="preserve">. Оценка качества </w:t>
      </w:r>
    </w:p>
    <w:p w14:paraId="2B50F44B" w14:textId="77777777" w:rsidR="00990634" w:rsidRPr="00A343D5" w:rsidRDefault="00990634" w:rsidP="00A343D5">
      <w:pPr>
        <w:rPr>
          <w:rFonts w:cs="Times New Roman"/>
        </w:rPr>
      </w:pPr>
      <w:r w:rsidRPr="00A343D5">
        <w:rPr>
          <w:rFonts w:cs="Times New Roman"/>
        </w:rPr>
        <w:t>Ответственный сотрудник проводит самооценку процесса расчета и его результатов на основе Системы обеспечения качества статистики ФАО (SQAF). SQAF учитывает следующие принципы: актуальность, точность и надежность, вневременность и пунктуальность, согласованность и сопоставимость, а также доступность и ясность.</w:t>
      </w:r>
    </w:p>
    <w:p w14:paraId="5BB8B0E5" w14:textId="77777777" w:rsidR="002E15F9" w:rsidRPr="00A343D5" w:rsidRDefault="002E15F9" w:rsidP="00A343D5">
      <w:pPr>
        <w:pStyle w:val="MHeader"/>
        <w:spacing w:after="100"/>
        <w:rPr>
          <w:b/>
          <w:color w:val="auto"/>
          <w:sz w:val="24"/>
          <w:szCs w:val="24"/>
          <w:lang w:val="ru-RU"/>
        </w:rPr>
      </w:pPr>
      <w:r w:rsidRPr="000F1E8E">
        <w:rPr>
          <w:b/>
          <w:color w:val="auto"/>
          <w:sz w:val="24"/>
          <w:szCs w:val="24"/>
          <w:lang w:val="ru-RU"/>
        </w:rPr>
        <w:lastRenderedPageBreak/>
        <w:t xml:space="preserve">5. </w:t>
      </w:r>
      <w:r w:rsidR="0075371E" w:rsidRPr="000F1E8E">
        <w:rPr>
          <w:b/>
          <w:color w:val="auto"/>
          <w:sz w:val="24"/>
          <w:szCs w:val="24"/>
          <w:lang w:val="ru-RU"/>
        </w:rPr>
        <w:t xml:space="preserve">Доступность и </w:t>
      </w:r>
      <w:proofErr w:type="spellStart"/>
      <w:r w:rsidR="0075371E" w:rsidRPr="000F1E8E">
        <w:rPr>
          <w:b/>
          <w:color w:val="auto"/>
          <w:sz w:val="24"/>
          <w:szCs w:val="24"/>
          <w:lang w:val="ru-RU"/>
        </w:rPr>
        <w:t>дезагрегирование</w:t>
      </w:r>
      <w:proofErr w:type="spellEnd"/>
      <w:r w:rsidR="0075371E" w:rsidRPr="000F1E8E">
        <w:rPr>
          <w:b/>
          <w:color w:val="auto"/>
          <w:sz w:val="24"/>
          <w:szCs w:val="24"/>
          <w:lang w:val="ru-RU"/>
        </w:rPr>
        <w:t xml:space="preserve"> данных</w:t>
      </w:r>
    </w:p>
    <w:p w14:paraId="57673541" w14:textId="77777777" w:rsidR="00577C9B" w:rsidRPr="00A343D5" w:rsidRDefault="00577C9B" w:rsidP="00A343D5">
      <w:pPr>
        <w:rPr>
          <w:rFonts w:eastAsia="Times New Roman" w:cs="Times New Roman"/>
          <w:szCs w:val="24"/>
          <w:lang w:eastAsia="en-GB"/>
        </w:rPr>
      </w:pPr>
      <w:r w:rsidRPr="00A343D5">
        <w:rPr>
          <w:rFonts w:eastAsia="Times New Roman" w:cs="Times New Roman"/>
          <w:szCs w:val="24"/>
          <w:lang w:eastAsia="en-GB"/>
        </w:rPr>
        <w:t>Доступность данных:</w:t>
      </w:r>
    </w:p>
    <w:p w14:paraId="1EDF4396" w14:textId="32AFEB28" w:rsidR="00BA05C5" w:rsidRPr="00A343D5" w:rsidRDefault="009A770F" w:rsidP="00A343D5">
      <w:pPr>
        <w:rPr>
          <w:rFonts w:eastAsia="Times New Roman" w:cs="Times New Roman"/>
          <w:szCs w:val="24"/>
          <w:lang w:eastAsia="en-GB"/>
        </w:rPr>
      </w:pPr>
      <w:r w:rsidRPr="009A770F">
        <w:rPr>
          <w:rFonts w:eastAsia="Times New Roman" w:cs="Times New Roman"/>
          <w:szCs w:val="24"/>
          <w:lang w:eastAsia="en-GB"/>
        </w:rPr>
        <w:t>IFPA по ценам на сырьевые товары доступна примерно для двух пятых стран, в то время как IFPA по индексу потребительских цен на продовольствие доступна</w:t>
      </w:r>
      <w:r w:rsidR="0096368B">
        <w:rPr>
          <w:rFonts w:eastAsia="Times New Roman" w:cs="Times New Roman"/>
          <w:szCs w:val="24"/>
          <w:lang w:eastAsia="en-GB"/>
        </w:rPr>
        <w:t xml:space="preserve"> </w:t>
      </w:r>
      <w:r w:rsidRPr="009A770F">
        <w:rPr>
          <w:rFonts w:eastAsia="Times New Roman" w:cs="Times New Roman"/>
          <w:szCs w:val="24"/>
          <w:lang w:eastAsia="en-GB"/>
        </w:rPr>
        <w:t>почти для всех стран.</w:t>
      </w:r>
    </w:p>
    <w:p w14:paraId="7630A3E9" w14:textId="77777777" w:rsidR="00BA05C5" w:rsidRPr="00A343D5" w:rsidRDefault="00BA05C5" w:rsidP="00A343D5">
      <w:pPr>
        <w:rPr>
          <w:rFonts w:cs="Times New Roman"/>
        </w:rPr>
      </w:pPr>
      <w:r w:rsidRPr="00A343D5">
        <w:rPr>
          <w:rFonts w:cs="Times New Roman"/>
        </w:rPr>
        <w:t>Временные ряды:</w:t>
      </w:r>
    </w:p>
    <w:p w14:paraId="68B8E082" w14:textId="36DE9C3E" w:rsidR="00BA05C5" w:rsidRPr="00A343D5" w:rsidRDefault="006364B4" w:rsidP="00A343D5">
      <w:pPr>
        <w:rPr>
          <w:rFonts w:cs="Times New Roman"/>
        </w:rPr>
      </w:pPr>
      <w:r w:rsidRPr="006364B4">
        <w:rPr>
          <w:rFonts w:cs="Times New Roman"/>
        </w:rPr>
        <w:t>IFPA по ценам на сырьевые товары публикуется ежегодно с 2015 года, в то время как IFPA по индексу потребительских цен на продовольствие публикуется ежегодно с 2010 года.</w:t>
      </w:r>
    </w:p>
    <w:p w14:paraId="1789D80F" w14:textId="77777777" w:rsidR="00BA05C5" w:rsidRPr="00A343D5" w:rsidRDefault="00BA05C5" w:rsidP="00A343D5">
      <w:pPr>
        <w:rPr>
          <w:rFonts w:cs="Times New Roman"/>
        </w:rPr>
      </w:pPr>
      <w:proofErr w:type="spellStart"/>
      <w:r w:rsidRPr="00A343D5">
        <w:rPr>
          <w:rFonts w:cs="Times New Roman"/>
        </w:rPr>
        <w:t>Дезагрегация</w:t>
      </w:r>
      <w:proofErr w:type="spellEnd"/>
      <w:r w:rsidRPr="00A343D5">
        <w:rPr>
          <w:rFonts w:cs="Times New Roman"/>
        </w:rPr>
        <w:t>:</w:t>
      </w:r>
    </w:p>
    <w:p w14:paraId="1E328274" w14:textId="77777777" w:rsidR="00BA05C5" w:rsidRPr="00A343D5" w:rsidRDefault="00BA05C5" w:rsidP="00A343D5">
      <w:pPr>
        <w:rPr>
          <w:rFonts w:cs="Times New Roman"/>
        </w:rPr>
      </w:pPr>
      <w:r w:rsidRPr="00A343D5">
        <w:rPr>
          <w:rFonts w:cs="Times New Roman"/>
        </w:rPr>
        <w:t>Тип товара, уровень аномалии цен</w:t>
      </w:r>
    </w:p>
    <w:p w14:paraId="12C36F2A" w14:textId="77777777" w:rsidR="002E15F9" w:rsidRPr="00A343D5" w:rsidRDefault="002E15F9" w:rsidP="00A343D5">
      <w:pPr>
        <w:pStyle w:val="MHeader"/>
        <w:spacing w:after="100"/>
        <w:rPr>
          <w:b/>
          <w:color w:val="auto"/>
          <w:sz w:val="24"/>
          <w:szCs w:val="24"/>
          <w:lang w:val="ru-RU"/>
        </w:rPr>
      </w:pPr>
      <w:r w:rsidRPr="00A343D5">
        <w:rPr>
          <w:b/>
          <w:color w:val="auto"/>
          <w:sz w:val="24"/>
          <w:szCs w:val="24"/>
          <w:lang w:val="ru-RU"/>
        </w:rPr>
        <w:t xml:space="preserve">6. </w:t>
      </w:r>
      <w:r w:rsidR="0075371E" w:rsidRPr="00A343D5">
        <w:rPr>
          <w:b/>
          <w:color w:val="auto"/>
          <w:sz w:val="24"/>
          <w:szCs w:val="24"/>
          <w:lang w:val="ru-RU"/>
        </w:rPr>
        <w:t>Сопоставимость / отклонение от международных стандартов</w:t>
      </w:r>
    </w:p>
    <w:p w14:paraId="6E8C5B9F" w14:textId="77777777" w:rsidR="00376FE6" w:rsidRPr="00A343D5" w:rsidRDefault="00376FE6" w:rsidP="00A343D5">
      <w:pPr>
        <w:rPr>
          <w:rFonts w:cs="Times New Roman"/>
          <w:lang w:eastAsia="en-GB"/>
        </w:rPr>
      </w:pPr>
      <w:r w:rsidRPr="00A343D5">
        <w:rPr>
          <w:rFonts w:cs="Times New Roman"/>
          <w:lang w:eastAsia="en-GB"/>
        </w:rPr>
        <w:t>Для расчета показателя ФАО полагается на индексы цен на продовольствие, представленные в FAOSTAT, а также на имеющиеся официальные данные о внутренних ценах на продовольствие, которые организация собирает в инструменте мониторинга и анализа цен на продовольствие (FPMA). База данных FPMA объединяет ряды цен на основные продовольственные товары (в основном зерновые) на отдельных рынках в странах по всему миру. В результате показатель, рассчитываемый ФАО, может отличаться от показателя, рассчитанного на уровне страны, поскольку он может быть рассчитан на основе других рыночных цен.</w:t>
      </w:r>
      <w:r w:rsidRPr="00A343D5">
        <w:rPr>
          <w:rFonts w:cs="Times New Roman"/>
        </w:rPr>
        <w:t xml:space="preserve"> </w:t>
      </w:r>
      <w:r w:rsidRPr="00A343D5">
        <w:rPr>
          <w:rFonts w:cs="Times New Roman"/>
          <w:lang w:eastAsia="en-GB"/>
        </w:rPr>
        <w:t>Когда пищевые продукты, наиболее актуальные для страны, отличаются от пяти товаров, которые рассчитывает ФАО, странам настоятельно рекомендуется разработать IFPA для этих продуктов питания и отслеживать волатильность их цен.</w:t>
      </w:r>
    </w:p>
    <w:p w14:paraId="19A3D9E6" w14:textId="77777777" w:rsidR="00040034" w:rsidRPr="00A343D5" w:rsidRDefault="00040034" w:rsidP="00A343D5">
      <w:pPr>
        <w:pBdr>
          <w:bottom w:val="single" w:sz="12" w:space="4" w:color="DDDDDD"/>
        </w:pBdr>
        <w:shd w:val="clear" w:color="auto" w:fill="FFFFFF"/>
        <w:spacing w:after="100"/>
        <w:outlineLvl w:val="2"/>
        <w:rPr>
          <w:rFonts w:eastAsia="Times New Roman" w:cs="Times New Roman"/>
          <w:b/>
          <w:szCs w:val="24"/>
          <w:lang w:eastAsia="en-GB"/>
        </w:rPr>
      </w:pPr>
      <w:r w:rsidRPr="00A343D5">
        <w:rPr>
          <w:rFonts w:eastAsia="Times New Roman" w:cs="Times New Roman"/>
          <w:b/>
          <w:szCs w:val="24"/>
          <w:lang w:eastAsia="en-GB"/>
        </w:rPr>
        <w:t>7. Ссылки и документы</w:t>
      </w:r>
    </w:p>
    <w:p w14:paraId="3DEB1F33" w14:textId="77777777" w:rsidR="00376FE6" w:rsidRPr="00A343D5" w:rsidRDefault="00376FE6" w:rsidP="00A343D5">
      <w:pPr>
        <w:pStyle w:val="MText"/>
        <w:rPr>
          <w:color w:val="auto"/>
          <w:sz w:val="24"/>
          <w:szCs w:val="24"/>
          <w:lang w:val="ru-RU"/>
        </w:rPr>
      </w:pPr>
      <w:r w:rsidRPr="00A343D5">
        <w:rPr>
          <w:color w:val="auto"/>
          <w:sz w:val="24"/>
          <w:szCs w:val="24"/>
          <w:lang w:val="en-US"/>
        </w:rPr>
        <w:t>URL</w:t>
      </w:r>
      <w:r w:rsidRPr="00A343D5">
        <w:rPr>
          <w:color w:val="auto"/>
          <w:sz w:val="24"/>
          <w:szCs w:val="24"/>
          <w:lang w:val="ru-RU"/>
        </w:rPr>
        <w:t>:</w:t>
      </w:r>
    </w:p>
    <w:p w14:paraId="0018CEC8" w14:textId="77777777" w:rsidR="00376FE6" w:rsidRPr="00A343D5" w:rsidRDefault="00376FE6" w:rsidP="00A343D5">
      <w:pPr>
        <w:pStyle w:val="MText"/>
        <w:rPr>
          <w:color w:val="auto"/>
          <w:sz w:val="24"/>
          <w:szCs w:val="24"/>
          <w:lang w:val="ru-RU"/>
        </w:rPr>
      </w:pPr>
      <w:r w:rsidRPr="00A343D5">
        <w:rPr>
          <w:color w:val="auto"/>
          <w:sz w:val="24"/>
          <w:szCs w:val="24"/>
          <w:lang w:val="en-US"/>
        </w:rPr>
        <w:t>http</w:t>
      </w:r>
      <w:r w:rsidRPr="00A343D5">
        <w:rPr>
          <w:color w:val="auto"/>
          <w:sz w:val="24"/>
          <w:szCs w:val="24"/>
          <w:lang w:val="ru-RU"/>
        </w:rPr>
        <w:t>://</w:t>
      </w:r>
      <w:r w:rsidRPr="00A343D5">
        <w:rPr>
          <w:color w:val="auto"/>
          <w:sz w:val="24"/>
          <w:szCs w:val="24"/>
          <w:lang w:val="en-US"/>
        </w:rPr>
        <w:t>www</w:t>
      </w:r>
      <w:r w:rsidRPr="00A343D5">
        <w:rPr>
          <w:color w:val="auto"/>
          <w:sz w:val="24"/>
          <w:szCs w:val="24"/>
          <w:lang w:val="ru-RU"/>
        </w:rPr>
        <w:t>.</w:t>
      </w:r>
      <w:proofErr w:type="spellStart"/>
      <w:r w:rsidRPr="00A343D5">
        <w:rPr>
          <w:color w:val="auto"/>
          <w:sz w:val="24"/>
          <w:szCs w:val="24"/>
          <w:lang w:val="en-US"/>
        </w:rPr>
        <w:t>fao</w:t>
      </w:r>
      <w:proofErr w:type="spellEnd"/>
      <w:r w:rsidRPr="00A343D5">
        <w:rPr>
          <w:color w:val="auto"/>
          <w:sz w:val="24"/>
          <w:szCs w:val="24"/>
          <w:lang w:val="ru-RU"/>
        </w:rPr>
        <w:t>.</w:t>
      </w:r>
      <w:r w:rsidRPr="00A343D5">
        <w:rPr>
          <w:color w:val="auto"/>
          <w:sz w:val="24"/>
          <w:szCs w:val="24"/>
          <w:lang w:val="en-US"/>
        </w:rPr>
        <w:t>org</w:t>
      </w:r>
      <w:r w:rsidRPr="00A343D5">
        <w:rPr>
          <w:color w:val="auto"/>
          <w:sz w:val="24"/>
          <w:szCs w:val="24"/>
          <w:lang w:val="ru-RU"/>
        </w:rPr>
        <w:t>/</w:t>
      </w:r>
      <w:proofErr w:type="spellStart"/>
      <w:r w:rsidRPr="00A343D5">
        <w:rPr>
          <w:color w:val="auto"/>
          <w:sz w:val="24"/>
          <w:szCs w:val="24"/>
          <w:lang w:val="en-US"/>
        </w:rPr>
        <w:t>giews</w:t>
      </w:r>
      <w:proofErr w:type="spellEnd"/>
      <w:r w:rsidRPr="00A343D5">
        <w:rPr>
          <w:color w:val="auto"/>
          <w:sz w:val="24"/>
          <w:szCs w:val="24"/>
          <w:lang w:val="ru-RU"/>
        </w:rPr>
        <w:t>/</w:t>
      </w:r>
      <w:r w:rsidRPr="00A343D5">
        <w:rPr>
          <w:color w:val="auto"/>
          <w:sz w:val="24"/>
          <w:szCs w:val="24"/>
          <w:lang w:val="en-US"/>
        </w:rPr>
        <w:t>food</w:t>
      </w:r>
      <w:r w:rsidRPr="00A343D5">
        <w:rPr>
          <w:color w:val="auto"/>
          <w:sz w:val="24"/>
          <w:szCs w:val="24"/>
          <w:lang w:val="ru-RU"/>
        </w:rPr>
        <w:t>-</w:t>
      </w:r>
      <w:r w:rsidRPr="00A343D5">
        <w:rPr>
          <w:color w:val="auto"/>
          <w:sz w:val="24"/>
          <w:szCs w:val="24"/>
          <w:lang w:val="en-US"/>
        </w:rPr>
        <w:t>prices</w:t>
      </w:r>
      <w:r w:rsidRPr="00A343D5">
        <w:rPr>
          <w:color w:val="auto"/>
          <w:sz w:val="24"/>
          <w:szCs w:val="24"/>
          <w:lang w:val="ru-RU"/>
        </w:rPr>
        <w:t>/</w:t>
      </w:r>
      <w:r w:rsidRPr="00A343D5">
        <w:rPr>
          <w:color w:val="auto"/>
          <w:sz w:val="24"/>
          <w:szCs w:val="24"/>
          <w:lang w:val="en-US"/>
        </w:rPr>
        <w:t>research</w:t>
      </w:r>
      <w:r w:rsidRPr="00A343D5">
        <w:rPr>
          <w:color w:val="auto"/>
          <w:sz w:val="24"/>
          <w:szCs w:val="24"/>
          <w:lang w:val="ru-RU"/>
        </w:rPr>
        <w:t>/</w:t>
      </w:r>
      <w:proofErr w:type="spellStart"/>
      <w:r w:rsidRPr="00A343D5">
        <w:rPr>
          <w:color w:val="auto"/>
          <w:sz w:val="24"/>
          <w:szCs w:val="24"/>
          <w:lang w:val="en-US"/>
        </w:rPr>
        <w:t>en</w:t>
      </w:r>
      <w:proofErr w:type="spellEnd"/>
      <w:r w:rsidRPr="00A343D5">
        <w:rPr>
          <w:color w:val="auto"/>
          <w:sz w:val="24"/>
          <w:szCs w:val="24"/>
          <w:lang w:val="ru-RU"/>
        </w:rPr>
        <w:t>/</w:t>
      </w:r>
    </w:p>
    <w:p w14:paraId="52C18DAC" w14:textId="77777777" w:rsidR="00376FE6" w:rsidRPr="00A343D5" w:rsidRDefault="00376FE6" w:rsidP="00A343D5">
      <w:pPr>
        <w:pStyle w:val="MText"/>
        <w:rPr>
          <w:color w:val="auto"/>
          <w:sz w:val="24"/>
          <w:szCs w:val="24"/>
          <w:lang w:val="ru-RU"/>
        </w:rPr>
      </w:pPr>
    </w:p>
    <w:p w14:paraId="6664D01B" w14:textId="77777777" w:rsidR="00376FE6" w:rsidRPr="000F1E8E" w:rsidRDefault="00376FE6" w:rsidP="00A343D5">
      <w:pPr>
        <w:pStyle w:val="MText"/>
        <w:rPr>
          <w:color w:val="auto"/>
          <w:sz w:val="24"/>
          <w:szCs w:val="24"/>
          <w:lang w:val="ru-RU"/>
        </w:rPr>
      </w:pPr>
      <w:r w:rsidRPr="00A343D5">
        <w:rPr>
          <w:color w:val="auto"/>
          <w:sz w:val="24"/>
          <w:szCs w:val="24"/>
          <w:lang w:val="en-US"/>
        </w:rPr>
        <w:t>References</w:t>
      </w:r>
      <w:r w:rsidRPr="000F1E8E">
        <w:rPr>
          <w:color w:val="auto"/>
          <w:sz w:val="24"/>
          <w:szCs w:val="24"/>
          <w:lang w:val="ru-RU"/>
        </w:rPr>
        <w:t>:</w:t>
      </w:r>
    </w:p>
    <w:p w14:paraId="4490945E" w14:textId="77777777" w:rsidR="002B2508" w:rsidRPr="000F1E8E" w:rsidRDefault="00376FE6" w:rsidP="00A343D5">
      <w:pPr>
        <w:pStyle w:val="MText"/>
        <w:rPr>
          <w:color w:val="auto"/>
          <w:sz w:val="24"/>
          <w:szCs w:val="24"/>
          <w:lang w:val="ru-RU"/>
        </w:rPr>
      </w:pPr>
      <w:r w:rsidRPr="00A343D5">
        <w:rPr>
          <w:color w:val="auto"/>
          <w:sz w:val="24"/>
          <w:szCs w:val="24"/>
          <w:lang w:val="en-US"/>
        </w:rPr>
        <w:t>https</w:t>
      </w:r>
      <w:r w:rsidRPr="000F1E8E">
        <w:rPr>
          <w:color w:val="auto"/>
          <w:sz w:val="24"/>
          <w:szCs w:val="24"/>
          <w:lang w:val="ru-RU"/>
        </w:rPr>
        <w:t>://</w:t>
      </w:r>
      <w:proofErr w:type="spellStart"/>
      <w:r w:rsidRPr="00A343D5">
        <w:rPr>
          <w:color w:val="auto"/>
          <w:sz w:val="24"/>
          <w:szCs w:val="24"/>
          <w:lang w:val="en-US"/>
        </w:rPr>
        <w:t>fpma</w:t>
      </w:r>
      <w:proofErr w:type="spellEnd"/>
      <w:r w:rsidRPr="000F1E8E">
        <w:rPr>
          <w:color w:val="auto"/>
          <w:sz w:val="24"/>
          <w:szCs w:val="24"/>
          <w:lang w:val="ru-RU"/>
        </w:rPr>
        <w:t>.</w:t>
      </w:r>
      <w:r w:rsidRPr="00A343D5">
        <w:rPr>
          <w:color w:val="auto"/>
          <w:sz w:val="24"/>
          <w:szCs w:val="24"/>
          <w:lang w:val="en-US"/>
        </w:rPr>
        <w:t>apps</w:t>
      </w:r>
      <w:r w:rsidRPr="000F1E8E">
        <w:rPr>
          <w:color w:val="auto"/>
          <w:sz w:val="24"/>
          <w:szCs w:val="24"/>
          <w:lang w:val="ru-RU"/>
        </w:rPr>
        <w:t>.</w:t>
      </w:r>
      <w:proofErr w:type="spellStart"/>
      <w:r w:rsidRPr="00A343D5">
        <w:rPr>
          <w:color w:val="auto"/>
          <w:sz w:val="24"/>
          <w:szCs w:val="24"/>
          <w:lang w:val="en-US"/>
        </w:rPr>
        <w:t>fao</w:t>
      </w:r>
      <w:proofErr w:type="spellEnd"/>
      <w:r w:rsidRPr="000F1E8E">
        <w:rPr>
          <w:color w:val="auto"/>
          <w:sz w:val="24"/>
          <w:szCs w:val="24"/>
          <w:lang w:val="ru-RU"/>
        </w:rPr>
        <w:t>.</w:t>
      </w:r>
      <w:r w:rsidRPr="00A343D5">
        <w:rPr>
          <w:color w:val="auto"/>
          <w:sz w:val="24"/>
          <w:szCs w:val="24"/>
          <w:lang w:val="en-US"/>
        </w:rPr>
        <w:t>org</w:t>
      </w:r>
      <w:r w:rsidRPr="000F1E8E">
        <w:rPr>
          <w:color w:val="auto"/>
          <w:sz w:val="24"/>
          <w:szCs w:val="24"/>
          <w:lang w:val="ru-RU"/>
        </w:rPr>
        <w:t>/</w:t>
      </w:r>
      <w:proofErr w:type="spellStart"/>
      <w:r w:rsidRPr="00A343D5">
        <w:rPr>
          <w:color w:val="auto"/>
          <w:sz w:val="24"/>
          <w:szCs w:val="24"/>
          <w:lang w:val="en-US"/>
        </w:rPr>
        <w:t>giews</w:t>
      </w:r>
      <w:proofErr w:type="spellEnd"/>
      <w:r w:rsidRPr="000F1E8E">
        <w:rPr>
          <w:color w:val="auto"/>
          <w:sz w:val="24"/>
          <w:szCs w:val="24"/>
          <w:lang w:val="ru-RU"/>
        </w:rPr>
        <w:t>/</w:t>
      </w:r>
      <w:r w:rsidRPr="00A343D5">
        <w:rPr>
          <w:color w:val="auto"/>
          <w:sz w:val="24"/>
          <w:szCs w:val="24"/>
          <w:lang w:val="en-US"/>
        </w:rPr>
        <w:t>food</w:t>
      </w:r>
      <w:r w:rsidRPr="000F1E8E">
        <w:rPr>
          <w:color w:val="auto"/>
          <w:sz w:val="24"/>
          <w:szCs w:val="24"/>
          <w:lang w:val="ru-RU"/>
        </w:rPr>
        <w:t>-</w:t>
      </w:r>
      <w:r w:rsidRPr="00A343D5">
        <w:rPr>
          <w:color w:val="auto"/>
          <w:sz w:val="24"/>
          <w:szCs w:val="24"/>
          <w:lang w:val="en-US"/>
        </w:rPr>
        <w:t>prices</w:t>
      </w:r>
      <w:r w:rsidRPr="000F1E8E">
        <w:rPr>
          <w:color w:val="auto"/>
          <w:sz w:val="24"/>
          <w:szCs w:val="24"/>
          <w:lang w:val="ru-RU"/>
        </w:rPr>
        <w:t>/</w:t>
      </w:r>
      <w:r w:rsidRPr="00A343D5">
        <w:rPr>
          <w:color w:val="auto"/>
          <w:sz w:val="24"/>
          <w:szCs w:val="24"/>
          <w:lang w:val="en-US"/>
        </w:rPr>
        <w:t>tool</w:t>
      </w:r>
      <w:r w:rsidRPr="000F1E8E">
        <w:rPr>
          <w:color w:val="auto"/>
          <w:sz w:val="24"/>
          <w:szCs w:val="24"/>
          <w:lang w:val="ru-RU"/>
        </w:rPr>
        <w:t>/</w:t>
      </w:r>
      <w:r w:rsidRPr="00A343D5">
        <w:rPr>
          <w:color w:val="auto"/>
          <w:sz w:val="24"/>
          <w:szCs w:val="24"/>
          <w:lang w:val="en-US"/>
        </w:rPr>
        <w:t>public</w:t>
      </w:r>
      <w:r w:rsidRPr="000F1E8E">
        <w:rPr>
          <w:color w:val="auto"/>
          <w:sz w:val="24"/>
          <w:szCs w:val="24"/>
          <w:lang w:val="ru-RU"/>
        </w:rPr>
        <w:t>/#/</w:t>
      </w:r>
      <w:r w:rsidRPr="00A343D5">
        <w:rPr>
          <w:color w:val="auto"/>
          <w:sz w:val="24"/>
          <w:szCs w:val="24"/>
          <w:lang w:val="en-US"/>
        </w:rPr>
        <w:t>home</w:t>
      </w:r>
    </w:p>
    <w:p w14:paraId="7998BDF3" w14:textId="77777777" w:rsidR="00D31F63" w:rsidRPr="00146FDC" w:rsidRDefault="00D31F63" w:rsidP="0078726E">
      <w:pPr>
        <w:pStyle w:val="MText"/>
        <w:rPr>
          <w:color w:val="auto"/>
          <w:sz w:val="24"/>
          <w:szCs w:val="24"/>
          <w:lang w:val="ru-RU"/>
        </w:rPr>
      </w:pPr>
    </w:p>
    <w:sectPr w:rsidR="00D31F63" w:rsidRPr="00146FD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A3670" w14:textId="77777777" w:rsidR="0081039C" w:rsidRDefault="0081039C" w:rsidP="00F73DBC">
      <w:pPr>
        <w:spacing w:after="0" w:line="240" w:lineRule="auto"/>
      </w:pPr>
      <w:r>
        <w:separator/>
      </w:r>
    </w:p>
  </w:endnote>
  <w:endnote w:type="continuationSeparator" w:id="0">
    <w:p w14:paraId="35D45A5B" w14:textId="77777777" w:rsidR="0081039C" w:rsidRDefault="0081039C"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Segoe Print"/>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E61DC" w14:textId="77777777" w:rsidR="0081039C" w:rsidRDefault="0081039C" w:rsidP="00F73DBC">
      <w:pPr>
        <w:spacing w:after="0" w:line="240" w:lineRule="auto"/>
      </w:pPr>
      <w:r>
        <w:separator/>
      </w:r>
    </w:p>
  </w:footnote>
  <w:footnote w:type="continuationSeparator" w:id="0">
    <w:p w14:paraId="18DE0DC7" w14:textId="77777777" w:rsidR="0081039C" w:rsidRDefault="0081039C"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F1676" w14:textId="77777777" w:rsidR="00FE53A5" w:rsidRDefault="00FE53A5" w:rsidP="009508D1">
    <w:pPr>
      <w:pStyle w:val="ae"/>
      <w:jc w:val="right"/>
      <w:rPr>
        <w:i/>
      </w:rPr>
    </w:pPr>
    <w:r w:rsidRPr="009508D1">
      <w:rPr>
        <w:i/>
      </w:rPr>
      <w:t>Неофициальный перевод</w:t>
    </w:r>
    <w:r>
      <w:rPr>
        <w:i/>
      </w:rPr>
      <w:t xml:space="preserve"> </w:t>
    </w:r>
  </w:p>
  <w:p w14:paraId="40DD7253" w14:textId="20721C8B" w:rsidR="00FE53A5" w:rsidRPr="009508D1" w:rsidRDefault="00FE53A5" w:rsidP="009508D1">
    <w:pPr>
      <w:pStyle w:val="ae"/>
      <w:jc w:val="right"/>
    </w:pPr>
    <w:r>
      <w:t xml:space="preserve">Последнее обновление: </w:t>
    </w:r>
    <w:r w:rsidR="008B703F">
      <w:t>июль</w:t>
    </w:r>
    <w:r>
      <w:t xml:space="preserve"> 202</w:t>
    </w:r>
    <w:r w:rsidR="008B703F">
      <w:t>3</w:t>
    </w:r>
  </w:p>
  <w:p w14:paraId="0A77C29B" w14:textId="77777777" w:rsidR="00FE53A5" w:rsidRDefault="00FE53A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19F"/>
    <w:multiLevelType w:val="hybridMultilevel"/>
    <w:tmpl w:val="263AE4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4043DF5"/>
    <w:multiLevelType w:val="hybridMultilevel"/>
    <w:tmpl w:val="583085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B480B0C"/>
    <w:multiLevelType w:val="hybridMultilevel"/>
    <w:tmpl w:val="963E2F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41FC6"/>
    <w:multiLevelType w:val="hybridMultilevel"/>
    <w:tmpl w:val="3BCA43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1D60379"/>
    <w:multiLevelType w:val="hybridMultilevel"/>
    <w:tmpl w:val="12AE00E4"/>
    <w:lvl w:ilvl="0" w:tplc="4C7208DA">
      <w:start w:val="1"/>
      <w:numFmt w:val="decimal"/>
      <w:lvlText w:val="(%1)"/>
      <w:lvlJc w:val="left"/>
      <w:pPr>
        <w:ind w:left="720" w:hanging="360"/>
      </w:pPr>
      <w:rPr>
        <w:rFonts w:asciiTheme="minorHAnsi" w:eastAsiaTheme="minorEastAsia" w:hAnsiTheme="minorHAnsi" w:cstheme="minorBidi" w:hint="default"/>
        <w:color w:val="00B05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3EB25C7"/>
    <w:multiLevelType w:val="hybridMultilevel"/>
    <w:tmpl w:val="6F9E7408"/>
    <w:lvl w:ilvl="0" w:tplc="04190001">
      <w:start w:val="1"/>
      <w:numFmt w:val="bullet"/>
      <w:lvlText w:val=""/>
      <w:lvlJc w:val="left"/>
      <w:pPr>
        <w:ind w:left="720" w:hanging="360"/>
      </w:pPr>
      <w:rPr>
        <w:rFonts w:ascii="Symbol" w:hAnsi="Symbol" w:hint="default"/>
      </w:rPr>
    </w:lvl>
    <w:lvl w:ilvl="1" w:tplc="C4AEBA6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F53845"/>
    <w:multiLevelType w:val="hybridMultilevel"/>
    <w:tmpl w:val="D06A144A"/>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47F67AA"/>
    <w:multiLevelType w:val="hybridMultilevel"/>
    <w:tmpl w:val="6F30E0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29BD6AAA"/>
    <w:multiLevelType w:val="hybridMultilevel"/>
    <w:tmpl w:val="E9121376"/>
    <w:lvl w:ilvl="0" w:tplc="04190001">
      <w:start w:val="1"/>
      <w:numFmt w:val="bullet"/>
      <w:lvlText w:val=""/>
      <w:lvlJc w:val="left"/>
      <w:pPr>
        <w:ind w:left="720" w:hanging="360"/>
      </w:pPr>
      <w:rPr>
        <w:rFonts w:ascii="Symbol" w:hAnsi="Symbol" w:hint="default"/>
      </w:rPr>
    </w:lvl>
    <w:lvl w:ilvl="1" w:tplc="19F677D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6D3BA1"/>
    <w:multiLevelType w:val="hybridMultilevel"/>
    <w:tmpl w:val="8870B1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2D2D63B6"/>
    <w:multiLevelType w:val="hybridMultilevel"/>
    <w:tmpl w:val="03E4A948"/>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2D2F32D0"/>
    <w:multiLevelType w:val="hybridMultilevel"/>
    <w:tmpl w:val="2BD85E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2FB201E0"/>
    <w:multiLevelType w:val="hybridMultilevel"/>
    <w:tmpl w:val="3D7E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902403"/>
    <w:multiLevelType w:val="hybridMultilevel"/>
    <w:tmpl w:val="8840A6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3B9A52F5"/>
    <w:multiLevelType w:val="hybridMultilevel"/>
    <w:tmpl w:val="5DF047AC"/>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C40CDF"/>
    <w:multiLevelType w:val="hybridMultilevel"/>
    <w:tmpl w:val="E21CF0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3CB11EBE"/>
    <w:multiLevelType w:val="hybridMultilevel"/>
    <w:tmpl w:val="0BDC344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3D2E44B1"/>
    <w:multiLevelType w:val="hybridMultilevel"/>
    <w:tmpl w:val="EEF81FE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3E6E48DD"/>
    <w:multiLevelType w:val="hybridMultilevel"/>
    <w:tmpl w:val="01DEEE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9D437F"/>
    <w:multiLevelType w:val="hybridMultilevel"/>
    <w:tmpl w:val="47D4F1F6"/>
    <w:lvl w:ilvl="0" w:tplc="100C0003">
      <w:start w:val="1"/>
      <w:numFmt w:val="bullet"/>
      <w:lvlText w:val="o"/>
      <w:lvlJc w:val="left"/>
      <w:pPr>
        <w:ind w:left="720" w:hanging="360"/>
      </w:pPr>
      <w:rPr>
        <w:rFonts w:ascii="Courier New" w:hAnsi="Courier New" w:cs="Courier New"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4BF94B1B"/>
    <w:multiLevelType w:val="hybridMultilevel"/>
    <w:tmpl w:val="2B6C235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D4242B"/>
    <w:multiLevelType w:val="hybridMultilevel"/>
    <w:tmpl w:val="2E1691CA"/>
    <w:lvl w:ilvl="0" w:tplc="C9B24CA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D03307"/>
    <w:multiLevelType w:val="multilevel"/>
    <w:tmpl w:val="EC8C58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DD508BB"/>
    <w:multiLevelType w:val="multilevel"/>
    <w:tmpl w:val="6A0CABB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27029C3"/>
    <w:multiLevelType w:val="hybridMultilevel"/>
    <w:tmpl w:val="AD9240BC"/>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63E63A9A"/>
    <w:multiLevelType w:val="hybridMultilevel"/>
    <w:tmpl w:val="39FE4122"/>
    <w:lvl w:ilvl="0" w:tplc="100C0001">
      <w:start w:val="1"/>
      <w:numFmt w:val="bullet"/>
      <w:lvlText w:val=""/>
      <w:lvlJc w:val="left"/>
      <w:pPr>
        <w:ind w:left="1211" w:hanging="360"/>
      </w:pPr>
      <w:rPr>
        <w:rFonts w:ascii="Symbol" w:hAnsi="Symbol" w:hint="default"/>
      </w:rPr>
    </w:lvl>
    <w:lvl w:ilvl="1" w:tplc="100C0003" w:tentative="1">
      <w:start w:val="1"/>
      <w:numFmt w:val="bullet"/>
      <w:lvlText w:val="o"/>
      <w:lvlJc w:val="left"/>
      <w:pPr>
        <w:ind w:left="1931" w:hanging="360"/>
      </w:pPr>
      <w:rPr>
        <w:rFonts w:ascii="Courier New" w:hAnsi="Courier New" w:cs="Courier New" w:hint="default"/>
      </w:rPr>
    </w:lvl>
    <w:lvl w:ilvl="2" w:tplc="100C0005" w:tentative="1">
      <w:start w:val="1"/>
      <w:numFmt w:val="bullet"/>
      <w:lvlText w:val=""/>
      <w:lvlJc w:val="left"/>
      <w:pPr>
        <w:ind w:left="2651" w:hanging="360"/>
      </w:pPr>
      <w:rPr>
        <w:rFonts w:ascii="Wingdings" w:hAnsi="Wingdings" w:hint="default"/>
      </w:rPr>
    </w:lvl>
    <w:lvl w:ilvl="3" w:tplc="100C0001" w:tentative="1">
      <w:start w:val="1"/>
      <w:numFmt w:val="bullet"/>
      <w:lvlText w:val=""/>
      <w:lvlJc w:val="left"/>
      <w:pPr>
        <w:ind w:left="3371" w:hanging="360"/>
      </w:pPr>
      <w:rPr>
        <w:rFonts w:ascii="Symbol" w:hAnsi="Symbol" w:hint="default"/>
      </w:rPr>
    </w:lvl>
    <w:lvl w:ilvl="4" w:tplc="100C0003" w:tentative="1">
      <w:start w:val="1"/>
      <w:numFmt w:val="bullet"/>
      <w:lvlText w:val="o"/>
      <w:lvlJc w:val="left"/>
      <w:pPr>
        <w:ind w:left="4091" w:hanging="360"/>
      </w:pPr>
      <w:rPr>
        <w:rFonts w:ascii="Courier New" w:hAnsi="Courier New" w:cs="Courier New" w:hint="default"/>
      </w:rPr>
    </w:lvl>
    <w:lvl w:ilvl="5" w:tplc="100C0005" w:tentative="1">
      <w:start w:val="1"/>
      <w:numFmt w:val="bullet"/>
      <w:lvlText w:val=""/>
      <w:lvlJc w:val="left"/>
      <w:pPr>
        <w:ind w:left="4811" w:hanging="360"/>
      </w:pPr>
      <w:rPr>
        <w:rFonts w:ascii="Wingdings" w:hAnsi="Wingdings" w:hint="default"/>
      </w:rPr>
    </w:lvl>
    <w:lvl w:ilvl="6" w:tplc="100C0001" w:tentative="1">
      <w:start w:val="1"/>
      <w:numFmt w:val="bullet"/>
      <w:lvlText w:val=""/>
      <w:lvlJc w:val="left"/>
      <w:pPr>
        <w:ind w:left="5531" w:hanging="360"/>
      </w:pPr>
      <w:rPr>
        <w:rFonts w:ascii="Symbol" w:hAnsi="Symbol" w:hint="default"/>
      </w:rPr>
    </w:lvl>
    <w:lvl w:ilvl="7" w:tplc="100C0003" w:tentative="1">
      <w:start w:val="1"/>
      <w:numFmt w:val="bullet"/>
      <w:lvlText w:val="o"/>
      <w:lvlJc w:val="left"/>
      <w:pPr>
        <w:ind w:left="6251" w:hanging="360"/>
      </w:pPr>
      <w:rPr>
        <w:rFonts w:ascii="Courier New" w:hAnsi="Courier New" w:cs="Courier New" w:hint="default"/>
      </w:rPr>
    </w:lvl>
    <w:lvl w:ilvl="8" w:tplc="100C0005" w:tentative="1">
      <w:start w:val="1"/>
      <w:numFmt w:val="bullet"/>
      <w:lvlText w:val=""/>
      <w:lvlJc w:val="left"/>
      <w:pPr>
        <w:ind w:left="6971" w:hanging="360"/>
      </w:pPr>
      <w:rPr>
        <w:rFonts w:ascii="Wingdings" w:hAnsi="Wingdings" w:hint="default"/>
      </w:rPr>
    </w:lvl>
  </w:abstractNum>
  <w:abstractNum w:abstractNumId="30">
    <w:nsid w:val="641077E0"/>
    <w:multiLevelType w:val="hybridMultilevel"/>
    <w:tmpl w:val="372C22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nsid w:val="68EE2EC0"/>
    <w:multiLevelType w:val="hybridMultilevel"/>
    <w:tmpl w:val="7E447D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nsid w:val="6AA15DF2"/>
    <w:multiLevelType w:val="multilevel"/>
    <w:tmpl w:val="BC6AE5F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B6B316B"/>
    <w:multiLevelType w:val="hybridMultilevel"/>
    <w:tmpl w:val="17EE7E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nsid w:val="6EA32812"/>
    <w:multiLevelType w:val="hybridMultilevel"/>
    <w:tmpl w:val="F3129A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nsid w:val="718374BE"/>
    <w:multiLevelType w:val="hybridMultilevel"/>
    <w:tmpl w:val="BA4EB6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nsid w:val="74DF50DE"/>
    <w:multiLevelType w:val="hybridMultilevel"/>
    <w:tmpl w:val="10AE637E"/>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nsid w:val="7C261BE6"/>
    <w:multiLevelType w:val="hybridMultilevel"/>
    <w:tmpl w:val="EED400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nsid w:val="7E500FA7"/>
    <w:multiLevelType w:val="multilevel"/>
    <w:tmpl w:val="0604419C"/>
    <w:lvl w:ilvl="0">
      <w:start w:val="1"/>
      <w:numFmt w:val="decimal"/>
      <w:lvlText w:val="%1."/>
      <w:lvlJc w:val="left"/>
      <w:pPr>
        <w:ind w:left="720" w:hanging="360"/>
      </w:pPr>
    </w:lvl>
    <w:lvl w:ilvl="1">
      <w:start w:val="2"/>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5"/>
  </w:num>
  <w:num w:numId="3">
    <w:abstractNumId w:val="20"/>
  </w:num>
  <w:num w:numId="4">
    <w:abstractNumId w:val="23"/>
  </w:num>
  <w:num w:numId="5">
    <w:abstractNumId w:val="6"/>
  </w:num>
  <w:num w:numId="6">
    <w:abstractNumId w:val="9"/>
  </w:num>
  <w:num w:numId="7">
    <w:abstractNumId w:val="18"/>
  </w:num>
  <w:num w:numId="8">
    <w:abstractNumId w:val="16"/>
  </w:num>
  <w:num w:numId="9">
    <w:abstractNumId w:val="22"/>
  </w:num>
  <w:num w:numId="10">
    <w:abstractNumId w:val="5"/>
  </w:num>
  <w:num w:numId="11">
    <w:abstractNumId w:val="7"/>
  </w:num>
  <w:num w:numId="12">
    <w:abstractNumId w:val="15"/>
  </w:num>
  <w:num w:numId="13">
    <w:abstractNumId w:val="31"/>
  </w:num>
  <w:num w:numId="14">
    <w:abstractNumId w:val="33"/>
  </w:num>
  <w:num w:numId="15">
    <w:abstractNumId w:val="35"/>
  </w:num>
  <w:num w:numId="16">
    <w:abstractNumId w:val="32"/>
  </w:num>
  <w:num w:numId="17">
    <w:abstractNumId w:val="13"/>
  </w:num>
  <w:num w:numId="18">
    <w:abstractNumId w:val="8"/>
  </w:num>
  <w:num w:numId="19">
    <w:abstractNumId w:val="0"/>
  </w:num>
  <w:num w:numId="20">
    <w:abstractNumId w:val="34"/>
  </w:num>
  <w:num w:numId="21">
    <w:abstractNumId w:val="14"/>
  </w:num>
  <w:num w:numId="22">
    <w:abstractNumId w:val="38"/>
  </w:num>
  <w:num w:numId="23">
    <w:abstractNumId w:val="19"/>
  </w:num>
  <w:num w:numId="24">
    <w:abstractNumId w:val="29"/>
  </w:num>
  <w:num w:numId="25">
    <w:abstractNumId w:val="4"/>
  </w:num>
  <w:num w:numId="26">
    <w:abstractNumId w:val="26"/>
  </w:num>
  <w:num w:numId="27">
    <w:abstractNumId w:val="10"/>
  </w:num>
  <w:num w:numId="28">
    <w:abstractNumId w:val="21"/>
  </w:num>
  <w:num w:numId="29">
    <w:abstractNumId w:val="17"/>
  </w:num>
  <w:num w:numId="30">
    <w:abstractNumId w:val="27"/>
  </w:num>
  <w:num w:numId="31">
    <w:abstractNumId w:val="37"/>
  </w:num>
  <w:num w:numId="32">
    <w:abstractNumId w:val="11"/>
  </w:num>
  <w:num w:numId="33">
    <w:abstractNumId w:val="36"/>
  </w:num>
  <w:num w:numId="34">
    <w:abstractNumId w:val="1"/>
  </w:num>
  <w:num w:numId="35">
    <w:abstractNumId w:val="30"/>
  </w:num>
  <w:num w:numId="36">
    <w:abstractNumId w:val="12"/>
  </w:num>
  <w:num w:numId="37">
    <w:abstractNumId w:val="28"/>
  </w:num>
  <w:num w:numId="38">
    <w:abstractNumId w:val="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17B67"/>
    <w:rsid w:val="000311CE"/>
    <w:rsid w:val="00040034"/>
    <w:rsid w:val="00053D20"/>
    <w:rsid w:val="00062184"/>
    <w:rsid w:val="000A210D"/>
    <w:rsid w:val="000A229E"/>
    <w:rsid w:val="000A47E6"/>
    <w:rsid w:val="000F1E8E"/>
    <w:rsid w:val="0011581A"/>
    <w:rsid w:val="00116248"/>
    <w:rsid w:val="00122608"/>
    <w:rsid w:val="00133E22"/>
    <w:rsid w:val="00146FDC"/>
    <w:rsid w:val="001470A2"/>
    <w:rsid w:val="00165896"/>
    <w:rsid w:val="001A163A"/>
    <w:rsid w:val="001E2FC9"/>
    <w:rsid w:val="002525C1"/>
    <w:rsid w:val="002A078B"/>
    <w:rsid w:val="002B2508"/>
    <w:rsid w:val="002E122C"/>
    <w:rsid w:val="002E15F9"/>
    <w:rsid w:val="002F63E5"/>
    <w:rsid w:val="00303D71"/>
    <w:rsid w:val="003143BC"/>
    <w:rsid w:val="003746BC"/>
    <w:rsid w:val="00376FE6"/>
    <w:rsid w:val="00397764"/>
    <w:rsid w:val="003A389C"/>
    <w:rsid w:val="003B2CF2"/>
    <w:rsid w:val="003B340F"/>
    <w:rsid w:val="003E03CC"/>
    <w:rsid w:val="004066A3"/>
    <w:rsid w:val="00407E4E"/>
    <w:rsid w:val="004143B4"/>
    <w:rsid w:val="004163AE"/>
    <w:rsid w:val="00422DE3"/>
    <w:rsid w:val="004B638C"/>
    <w:rsid w:val="004B6FA0"/>
    <w:rsid w:val="004E087E"/>
    <w:rsid w:val="00504CD2"/>
    <w:rsid w:val="00516718"/>
    <w:rsid w:val="00543050"/>
    <w:rsid w:val="00577C9B"/>
    <w:rsid w:val="00593028"/>
    <w:rsid w:val="005E2ABC"/>
    <w:rsid w:val="005E47BD"/>
    <w:rsid w:val="00623607"/>
    <w:rsid w:val="006308D5"/>
    <w:rsid w:val="006364B4"/>
    <w:rsid w:val="00647C5F"/>
    <w:rsid w:val="00654380"/>
    <w:rsid w:val="006820AC"/>
    <w:rsid w:val="00694160"/>
    <w:rsid w:val="006B260E"/>
    <w:rsid w:val="006B3939"/>
    <w:rsid w:val="006D3860"/>
    <w:rsid w:val="006D7049"/>
    <w:rsid w:val="006E66FC"/>
    <w:rsid w:val="006F1198"/>
    <w:rsid w:val="00702333"/>
    <w:rsid w:val="00704A8D"/>
    <w:rsid w:val="00705161"/>
    <w:rsid w:val="0075371E"/>
    <w:rsid w:val="00780F08"/>
    <w:rsid w:val="0078726E"/>
    <w:rsid w:val="007B0CFD"/>
    <w:rsid w:val="007B1F84"/>
    <w:rsid w:val="007C27E0"/>
    <w:rsid w:val="007D1185"/>
    <w:rsid w:val="007D49DE"/>
    <w:rsid w:val="007F77DD"/>
    <w:rsid w:val="0081039C"/>
    <w:rsid w:val="0082082A"/>
    <w:rsid w:val="00853C09"/>
    <w:rsid w:val="008616D9"/>
    <w:rsid w:val="008B703F"/>
    <w:rsid w:val="0094718C"/>
    <w:rsid w:val="009508D1"/>
    <w:rsid w:val="00957A62"/>
    <w:rsid w:val="0096368B"/>
    <w:rsid w:val="00964BE9"/>
    <w:rsid w:val="00980F79"/>
    <w:rsid w:val="009843DD"/>
    <w:rsid w:val="00990634"/>
    <w:rsid w:val="009917DD"/>
    <w:rsid w:val="00995788"/>
    <w:rsid w:val="009A770F"/>
    <w:rsid w:val="009B3820"/>
    <w:rsid w:val="009B6CB3"/>
    <w:rsid w:val="009C1824"/>
    <w:rsid w:val="009D078D"/>
    <w:rsid w:val="009F0769"/>
    <w:rsid w:val="00A1741A"/>
    <w:rsid w:val="00A343D5"/>
    <w:rsid w:val="00A41B68"/>
    <w:rsid w:val="00A44394"/>
    <w:rsid w:val="00A44798"/>
    <w:rsid w:val="00A618FC"/>
    <w:rsid w:val="00A71EC6"/>
    <w:rsid w:val="00A73CA7"/>
    <w:rsid w:val="00A91FDE"/>
    <w:rsid w:val="00B0378B"/>
    <w:rsid w:val="00B17F13"/>
    <w:rsid w:val="00B443B3"/>
    <w:rsid w:val="00B51BC3"/>
    <w:rsid w:val="00B72F77"/>
    <w:rsid w:val="00BA05C5"/>
    <w:rsid w:val="00BD29EC"/>
    <w:rsid w:val="00BE70C8"/>
    <w:rsid w:val="00C25229"/>
    <w:rsid w:val="00C34D1D"/>
    <w:rsid w:val="00C74767"/>
    <w:rsid w:val="00C83435"/>
    <w:rsid w:val="00C8596F"/>
    <w:rsid w:val="00CA1CB1"/>
    <w:rsid w:val="00CE29A2"/>
    <w:rsid w:val="00CF7625"/>
    <w:rsid w:val="00D006C1"/>
    <w:rsid w:val="00D05466"/>
    <w:rsid w:val="00D1082C"/>
    <w:rsid w:val="00D31F63"/>
    <w:rsid w:val="00D54600"/>
    <w:rsid w:val="00D604B3"/>
    <w:rsid w:val="00D636C1"/>
    <w:rsid w:val="00D644B9"/>
    <w:rsid w:val="00D65EF2"/>
    <w:rsid w:val="00D71A86"/>
    <w:rsid w:val="00E206E6"/>
    <w:rsid w:val="00E21B43"/>
    <w:rsid w:val="00E27922"/>
    <w:rsid w:val="00E33CA8"/>
    <w:rsid w:val="00E55C4C"/>
    <w:rsid w:val="00E834AD"/>
    <w:rsid w:val="00E90BD4"/>
    <w:rsid w:val="00EB1910"/>
    <w:rsid w:val="00EB389E"/>
    <w:rsid w:val="00EB4CBB"/>
    <w:rsid w:val="00EE3914"/>
    <w:rsid w:val="00F14266"/>
    <w:rsid w:val="00F6371F"/>
    <w:rsid w:val="00F66E7B"/>
    <w:rsid w:val="00F73DBC"/>
    <w:rsid w:val="00F84FF1"/>
    <w:rsid w:val="00FD4CAF"/>
    <w:rsid w:val="00FE35CF"/>
    <w:rsid w:val="00FE53A5"/>
    <w:rsid w:val="00FE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DD"/>
    <w:pPr>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unhideWhenUsed/>
    <w:rsid w:val="00F73DBC"/>
    <w:pPr>
      <w:spacing w:after="0" w:line="240" w:lineRule="auto"/>
    </w:pPr>
    <w:rPr>
      <w:sz w:val="20"/>
      <w:szCs w:val="20"/>
    </w:rPr>
  </w:style>
  <w:style w:type="character" w:customStyle="1" w:styleId="a5">
    <w:name w:val="Текст сноски Знак"/>
    <w:basedOn w:val="a0"/>
    <w:link w:val="a4"/>
    <w:uiPriority w:val="99"/>
    <w:rsid w:val="00F73DBC"/>
    <w:rPr>
      <w:sz w:val="20"/>
      <w:szCs w:val="20"/>
    </w:rPr>
  </w:style>
  <w:style w:type="character" w:styleId="a6">
    <w:name w:val="footnote reference"/>
    <w:basedOn w:val="a0"/>
    <w:uiPriority w:val="99"/>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4">
    <w:name w:val="FollowedHyperlink"/>
    <w:basedOn w:val="a0"/>
    <w:uiPriority w:val="99"/>
    <w:semiHidden/>
    <w:unhideWhenUsed/>
    <w:rsid w:val="00422DE3"/>
    <w:rPr>
      <w:color w:val="800080" w:themeColor="followedHyperlink"/>
      <w:u w:val="single"/>
    </w:rPr>
  </w:style>
  <w:style w:type="character" w:customStyle="1" w:styleId="10">
    <w:name w:val="Заголовок 1 Знак"/>
    <w:basedOn w:val="a0"/>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5">
    <w:name w:val="annotation reference"/>
    <w:basedOn w:val="a0"/>
    <w:uiPriority w:val="99"/>
    <w:semiHidden/>
    <w:unhideWhenUsed/>
    <w:rsid w:val="00D31F63"/>
    <w:rPr>
      <w:sz w:val="16"/>
      <w:szCs w:val="16"/>
    </w:rPr>
  </w:style>
  <w:style w:type="paragraph" w:styleId="af6">
    <w:name w:val="annotation subject"/>
    <w:basedOn w:val="af2"/>
    <w:next w:val="af2"/>
    <w:link w:val="af7"/>
    <w:uiPriority w:val="99"/>
    <w:semiHidden/>
    <w:unhideWhenUsed/>
    <w:rsid w:val="00D31F63"/>
    <w:pPr>
      <w:jc w:val="left"/>
    </w:pPr>
    <w:rPr>
      <w:rFonts w:asciiTheme="minorHAnsi" w:hAnsiTheme="minorHAnsi"/>
      <w:b/>
      <w:bCs/>
    </w:rPr>
  </w:style>
  <w:style w:type="character" w:customStyle="1" w:styleId="af7">
    <w:name w:val="Тема примечания Знак"/>
    <w:basedOn w:val="af3"/>
    <w:link w:val="af6"/>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0"/>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0"/>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0"/>
    <w:link w:val="MIndHeader"/>
    <w:rsid w:val="00D31F63"/>
    <w:rPr>
      <w:rFonts w:eastAsia="Times New Roman" w:cs="Times New Roman"/>
      <w:color w:val="1C75BC"/>
      <w:shd w:val="clear" w:color="auto" w:fill="F5F5F5"/>
      <w:lang w:val="en-GB" w:eastAsia="en-GB"/>
    </w:rPr>
  </w:style>
  <w:style w:type="paragraph" w:styleId="af8">
    <w:name w:val="Body Text"/>
    <w:basedOn w:val="a"/>
    <w:link w:val="af9"/>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9">
    <w:name w:val="Основной текст Знак"/>
    <w:basedOn w:val="a0"/>
    <w:link w:val="af8"/>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0"/>
    <w:link w:val="HTML"/>
    <w:uiPriority w:val="99"/>
    <w:semiHidden/>
    <w:rsid w:val="00D31F63"/>
    <w:rPr>
      <w:rFonts w:ascii="Consolas" w:eastAsiaTheme="minorEastAsia" w:hAnsi="Consolas"/>
      <w:sz w:val="20"/>
      <w:szCs w:val="20"/>
      <w:lang w:val="en-GB" w:eastAsia="zh-CN"/>
    </w:rPr>
  </w:style>
  <w:style w:type="paragraph" w:styleId="afa">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11">
    <w:name w:val="Сетка таблицы светлая1"/>
    <w:basedOn w:val="a1"/>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DD"/>
    <w:pPr>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unhideWhenUsed/>
    <w:rsid w:val="00F73DBC"/>
    <w:pPr>
      <w:spacing w:after="0" w:line="240" w:lineRule="auto"/>
    </w:pPr>
    <w:rPr>
      <w:sz w:val="20"/>
      <w:szCs w:val="20"/>
    </w:rPr>
  </w:style>
  <w:style w:type="character" w:customStyle="1" w:styleId="a5">
    <w:name w:val="Текст сноски Знак"/>
    <w:basedOn w:val="a0"/>
    <w:link w:val="a4"/>
    <w:uiPriority w:val="99"/>
    <w:rsid w:val="00F73DBC"/>
    <w:rPr>
      <w:sz w:val="20"/>
      <w:szCs w:val="20"/>
    </w:rPr>
  </w:style>
  <w:style w:type="character" w:styleId="a6">
    <w:name w:val="footnote reference"/>
    <w:basedOn w:val="a0"/>
    <w:uiPriority w:val="99"/>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4">
    <w:name w:val="FollowedHyperlink"/>
    <w:basedOn w:val="a0"/>
    <w:uiPriority w:val="99"/>
    <w:semiHidden/>
    <w:unhideWhenUsed/>
    <w:rsid w:val="00422DE3"/>
    <w:rPr>
      <w:color w:val="800080" w:themeColor="followedHyperlink"/>
      <w:u w:val="single"/>
    </w:rPr>
  </w:style>
  <w:style w:type="character" w:customStyle="1" w:styleId="10">
    <w:name w:val="Заголовок 1 Знак"/>
    <w:basedOn w:val="a0"/>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5">
    <w:name w:val="annotation reference"/>
    <w:basedOn w:val="a0"/>
    <w:uiPriority w:val="99"/>
    <w:semiHidden/>
    <w:unhideWhenUsed/>
    <w:rsid w:val="00D31F63"/>
    <w:rPr>
      <w:sz w:val="16"/>
      <w:szCs w:val="16"/>
    </w:rPr>
  </w:style>
  <w:style w:type="paragraph" w:styleId="af6">
    <w:name w:val="annotation subject"/>
    <w:basedOn w:val="af2"/>
    <w:next w:val="af2"/>
    <w:link w:val="af7"/>
    <w:uiPriority w:val="99"/>
    <w:semiHidden/>
    <w:unhideWhenUsed/>
    <w:rsid w:val="00D31F63"/>
    <w:pPr>
      <w:jc w:val="left"/>
    </w:pPr>
    <w:rPr>
      <w:rFonts w:asciiTheme="minorHAnsi" w:hAnsiTheme="minorHAnsi"/>
      <w:b/>
      <w:bCs/>
    </w:rPr>
  </w:style>
  <w:style w:type="character" w:customStyle="1" w:styleId="af7">
    <w:name w:val="Тема примечания Знак"/>
    <w:basedOn w:val="af3"/>
    <w:link w:val="af6"/>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0"/>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0"/>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0"/>
    <w:link w:val="MIndHeader"/>
    <w:rsid w:val="00D31F63"/>
    <w:rPr>
      <w:rFonts w:eastAsia="Times New Roman" w:cs="Times New Roman"/>
      <w:color w:val="1C75BC"/>
      <w:shd w:val="clear" w:color="auto" w:fill="F5F5F5"/>
      <w:lang w:val="en-GB" w:eastAsia="en-GB"/>
    </w:rPr>
  </w:style>
  <w:style w:type="paragraph" w:styleId="af8">
    <w:name w:val="Body Text"/>
    <w:basedOn w:val="a"/>
    <w:link w:val="af9"/>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9">
    <w:name w:val="Основной текст Знак"/>
    <w:basedOn w:val="a0"/>
    <w:link w:val="af8"/>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0"/>
    <w:link w:val="HTML"/>
    <w:uiPriority w:val="99"/>
    <w:semiHidden/>
    <w:rsid w:val="00D31F63"/>
    <w:rPr>
      <w:rFonts w:ascii="Consolas" w:eastAsiaTheme="minorEastAsia" w:hAnsi="Consolas"/>
      <w:sz w:val="20"/>
      <w:szCs w:val="20"/>
      <w:lang w:val="en-GB" w:eastAsia="zh-CN"/>
    </w:rPr>
  </w:style>
  <w:style w:type="paragraph" w:styleId="afa">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11">
    <w:name w:val="Сетка таблицы светлая1"/>
    <w:basedOn w:val="a1"/>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3/K8024E/K8024E.pdf" TargetMode="External"/><Relationship Id="rId5" Type="http://schemas.openxmlformats.org/officeDocument/2006/relationships/settings" Target="settings.xml"/><Relationship Id="rId10" Type="http://schemas.openxmlformats.org/officeDocument/2006/relationships/hyperlink" Target="http://www.fao.org/faostat/en/" TargetMode="External"/><Relationship Id="rId4" Type="http://schemas.microsoft.com/office/2007/relationships/stylesWithEffects" Target="stylesWithEffects.xml"/><Relationship Id="rId9" Type="http://schemas.openxmlformats.org/officeDocument/2006/relationships/hyperlink" Target="https://fpma.apps.fao.org/giews/food-prices/tool/publi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F684F-9220-4ACE-B437-C6932164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2578</Words>
  <Characters>14695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32</cp:revision>
  <dcterms:created xsi:type="dcterms:W3CDTF">2021-08-11T10:08:00Z</dcterms:created>
  <dcterms:modified xsi:type="dcterms:W3CDTF">2023-07-10T12:11:00Z</dcterms:modified>
</cp:coreProperties>
</file>