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9236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42800C51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5654C14" w14:textId="6DDBB954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664789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</w:t>
      </w:r>
      <w:r w:rsidR="00664789" w:rsidRPr="00664789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5A246E23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2A20A82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5D79F63D" w14:textId="77777777" w:rsidR="00067E3E" w:rsidRPr="0020339C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147D02" w:rsidRPr="00147D02">
        <w:rPr>
          <w:rFonts w:eastAsia="Arial Unicode MS" w:cs="Times New Roman"/>
          <w:szCs w:val="24"/>
          <w:bdr w:val="nil"/>
          <w:lang w:eastAsia="ru-RU"/>
        </w:rPr>
        <w:t>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47D02" w:rsidRPr="00147D02">
        <w:t>Обеспечение перехода к рациональным моделям потребления и производства</w:t>
      </w:r>
    </w:p>
    <w:p w14:paraId="2AE87A46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33A7896D" w14:textId="77777777"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147D02" w:rsidRPr="00147D02">
        <w:rPr>
          <w:rFonts w:cs="Times New Roman"/>
          <w:szCs w:val="24"/>
        </w:rPr>
        <w:t>4</w:t>
      </w:r>
      <w:r w:rsidR="00780F08" w:rsidRPr="00A343D5">
        <w:rPr>
          <w:rFonts w:cs="Times New Roman"/>
          <w:szCs w:val="24"/>
        </w:rPr>
        <w:t xml:space="preserve">.  </w:t>
      </w:r>
      <w:r w:rsidR="00147D02" w:rsidRPr="00147D02">
        <w:rPr>
          <w:rFonts w:cs="Times New Roman"/>
          <w:szCs w:val="24"/>
        </w:rPr>
        <w:t>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среду.</w:t>
      </w:r>
    </w:p>
    <w:p w14:paraId="3D4FE4B4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3D059985" w14:textId="77777777"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147D02" w:rsidRPr="00147D02">
        <w:rPr>
          <w:rFonts w:cs="Times New Roman"/>
          <w:szCs w:val="24"/>
        </w:rPr>
        <w:t>4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147D02" w:rsidRPr="00147D02">
        <w:rPr>
          <w:rFonts w:cs="Times New Roman"/>
          <w:szCs w:val="24"/>
        </w:rPr>
        <w:t>Число сторон международных многосторонних экологических соглашений по опасным и иным химических веществам и отходам, выполняющих свои обязательства и обязанности по передаче информации в соответствии с требованиями каждого соглашения.</w:t>
      </w:r>
    </w:p>
    <w:p w14:paraId="1ADF4BC6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0B482326" w14:textId="48F1C832" w:rsidR="00912783" w:rsidRPr="00912783" w:rsidRDefault="00912783" w:rsidP="00FD5FE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 xml:space="preserve">Стороны, </w:t>
      </w:r>
      <w:r w:rsidRPr="00912783">
        <w:rPr>
          <w:lang w:eastAsia="ru-RU"/>
        </w:rPr>
        <w:t>выполняющи</w:t>
      </w:r>
      <w:r>
        <w:rPr>
          <w:lang w:eastAsia="ru-RU"/>
        </w:rPr>
        <w:t>е</w:t>
      </w:r>
      <w:r w:rsidRPr="00912783">
        <w:rPr>
          <w:lang w:eastAsia="ru-RU"/>
        </w:rPr>
        <w:t xml:space="preserve"> свои обязательства и обязанности по передаче информации в соответствии с требован</w:t>
      </w:r>
      <w:r>
        <w:rPr>
          <w:lang w:eastAsia="ru-RU"/>
        </w:rPr>
        <w:t xml:space="preserve">иями </w:t>
      </w:r>
      <w:proofErr w:type="spellStart"/>
      <w:r>
        <w:rPr>
          <w:lang w:eastAsia="ru-RU"/>
        </w:rPr>
        <w:t>Монреальского</w:t>
      </w:r>
      <w:proofErr w:type="spellEnd"/>
      <w:r>
        <w:rPr>
          <w:lang w:eastAsia="ru-RU"/>
        </w:rPr>
        <w:t xml:space="preserve"> протокола об</w:t>
      </w:r>
      <w:r w:rsidRPr="00147D02">
        <w:rPr>
          <w:rFonts w:cs="Times New Roman"/>
          <w:szCs w:val="24"/>
        </w:rPr>
        <w:t xml:space="preserve"> опасны</w:t>
      </w:r>
      <w:r>
        <w:rPr>
          <w:rFonts w:cs="Times New Roman"/>
          <w:szCs w:val="24"/>
        </w:rPr>
        <w:t xml:space="preserve">х </w:t>
      </w:r>
      <w:r w:rsidRPr="00147D02">
        <w:rPr>
          <w:rFonts w:cs="Times New Roman"/>
          <w:szCs w:val="24"/>
        </w:rPr>
        <w:t>и ины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химических вещества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и отхода</w:t>
      </w:r>
      <w:r>
        <w:rPr>
          <w:rFonts w:cs="Times New Roman"/>
          <w:szCs w:val="24"/>
        </w:rPr>
        <w:t>х</w:t>
      </w:r>
    </w:p>
    <w:p w14:paraId="4F466612" w14:textId="770740A0" w:rsidR="00912783" w:rsidRPr="00912783" w:rsidRDefault="00912783" w:rsidP="00FD5FE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912783">
        <w:rPr>
          <w:lang w:eastAsia="ru-RU"/>
        </w:rPr>
        <w:t>Стороны, выполняющи</w:t>
      </w:r>
      <w:r>
        <w:rPr>
          <w:lang w:eastAsia="ru-RU"/>
        </w:rPr>
        <w:t>е</w:t>
      </w:r>
      <w:r w:rsidRPr="00912783">
        <w:rPr>
          <w:lang w:eastAsia="ru-RU"/>
        </w:rPr>
        <w:t xml:space="preserve"> свои обязательства и обязанности по передаче информации в соответствии с требованиями Роттердамской конвенции </w:t>
      </w:r>
      <w:r>
        <w:rPr>
          <w:lang w:eastAsia="ru-RU"/>
        </w:rPr>
        <w:t>об</w:t>
      </w:r>
      <w:r w:rsidRPr="00147D02">
        <w:rPr>
          <w:rFonts w:cs="Times New Roman"/>
          <w:szCs w:val="24"/>
        </w:rPr>
        <w:t xml:space="preserve"> опасны</w:t>
      </w:r>
      <w:r>
        <w:rPr>
          <w:rFonts w:cs="Times New Roman"/>
          <w:szCs w:val="24"/>
        </w:rPr>
        <w:t xml:space="preserve">х </w:t>
      </w:r>
      <w:r w:rsidRPr="00147D02">
        <w:rPr>
          <w:rFonts w:cs="Times New Roman"/>
          <w:szCs w:val="24"/>
        </w:rPr>
        <w:t>и ины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химических вещества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и отхода</w:t>
      </w:r>
      <w:r>
        <w:rPr>
          <w:rFonts w:cs="Times New Roman"/>
          <w:szCs w:val="24"/>
        </w:rPr>
        <w:t>х</w:t>
      </w:r>
    </w:p>
    <w:p w14:paraId="07BB1032" w14:textId="00FA9845" w:rsidR="00912783" w:rsidRPr="00912783" w:rsidRDefault="00912783" w:rsidP="00FD5FE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912783">
        <w:rPr>
          <w:lang w:eastAsia="ru-RU"/>
        </w:rPr>
        <w:t>Стороны, выполняющи</w:t>
      </w:r>
      <w:r>
        <w:rPr>
          <w:lang w:eastAsia="ru-RU"/>
        </w:rPr>
        <w:t>е</w:t>
      </w:r>
      <w:r w:rsidRPr="00912783">
        <w:rPr>
          <w:lang w:eastAsia="ru-RU"/>
        </w:rPr>
        <w:t xml:space="preserve"> свои обязательства и обязанности по передаче информации в соответствии с требованиями Базельской конвенции </w:t>
      </w:r>
      <w:r>
        <w:rPr>
          <w:lang w:eastAsia="ru-RU"/>
        </w:rPr>
        <w:t>об</w:t>
      </w:r>
      <w:r w:rsidRPr="00147D02">
        <w:rPr>
          <w:rFonts w:cs="Times New Roman"/>
          <w:szCs w:val="24"/>
        </w:rPr>
        <w:t xml:space="preserve"> опасны</w:t>
      </w:r>
      <w:r>
        <w:rPr>
          <w:rFonts w:cs="Times New Roman"/>
          <w:szCs w:val="24"/>
        </w:rPr>
        <w:t xml:space="preserve">х </w:t>
      </w:r>
      <w:r w:rsidRPr="00147D02">
        <w:rPr>
          <w:rFonts w:cs="Times New Roman"/>
          <w:szCs w:val="24"/>
        </w:rPr>
        <w:t>и ины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химических вещества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и отхода</w:t>
      </w:r>
      <w:r>
        <w:rPr>
          <w:rFonts w:cs="Times New Roman"/>
          <w:szCs w:val="24"/>
        </w:rPr>
        <w:t>х</w:t>
      </w:r>
    </w:p>
    <w:p w14:paraId="2CD0C08B" w14:textId="0D7F99F7" w:rsidR="00912783" w:rsidRPr="00912783" w:rsidRDefault="00912783" w:rsidP="00FD5FE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>Стороны</w:t>
      </w:r>
      <w:r w:rsidRPr="00912783">
        <w:rPr>
          <w:lang w:eastAsia="ru-RU"/>
        </w:rPr>
        <w:t>, выполняющи</w:t>
      </w:r>
      <w:r>
        <w:rPr>
          <w:lang w:eastAsia="ru-RU"/>
        </w:rPr>
        <w:t>е</w:t>
      </w:r>
      <w:r w:rsidRPr="00912783">
        <w:rPr>
          <w:lang w:eastAsia="ru-RU"/>
        </w:rPr>
        <w:t xml:space="preserve"> свои обязательства и обязанности по передаче информации в соответствии с требованиями Стокгольмской конвенции </w:t>
      </w:r>
      <w:r>
        <w:rPr>
          <w:lang w:eastAsia="ru-RU"/>
        </w:rPr>
        <w:t>об</w:t>
      </w:r>
      <w:r w:rsidRPr="00147D02">
        <w:rPr>
          <w:rFonts w:cs="Times New Roman"/>
          <w:szCs w:val="24"/>
        </w:rPr>
        <w:t xml:space="preserve"> опасны</w:t>
      </w:r>
      <w:r>
        <w:rPr>
          <w:rFonts w:cs="Times New Roman"/>
          <w:szCs w:val="24"/>
        </w:rPr>
        <w:t xml:space="preserve">х </w:t>
      </w:r>
      <w:r w:rsidRPr="00147D02">
        <w:rPr>
          <w:rFonts w:cs="Times New Roman"/>
          <w:szCs w:val="24"/>
        </w:rPr>
        <w:t>и ины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химических вещества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и отхода</w:t>
      </w:r>
      <w:r>
        <w:rPr>
          <w:rFonts w:cs="Times New Roman"/>
          <w:szCs w:val="24"/>
        </w:rPr>
        <w:t>х</w:t>
      </w:r>
    </w:p>
    <w:p w14:paraId="42245241" w14:textId="4954C580" w:rsidR="00912783" w:rsidRDefault="00912783" w:rsidP="00FD5FE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912783">
        <w:rPr>
          <w:lang w:eastAsia="ru-RU"/>
        </w:rPr>
        <w:t xml:space="preserve">Стороны, выполняющие свои обязательства и обязательства по передаче информации в соответствии с требованиями Минаматской конвенции </w:t>
      </w:r>
      <w:r>
        <w:rPr>
          <w:lang w:eastAsia="ru-RU"/>
        </w:rPr>
        <w:t>об</w:t>
      </w:r>
      <w:r w:rsidRPr="00147D02">
        <w:rPr>
          <w:rFonts w:cs="Times New Roman"/>
          <w:szCs w:val="24"/>
        </w:rPr>
        <w:t xml:space="preserve"> опасны</w:t>
      </w:r>
      <w:r>
        <w:rPr>
          <w:rFonts w:cs="Times New Roman"/>
          <w:szCs w:val="24"/>
        </w:rPr>
        <w:t xml:space="preserve">х </w:t>
      </w:r>
      <w:r w:rsidRPr="00147D02">
        <w:rPr>
          <w:rFonts w:cs="Times New Roman"/>
          <w:szCs w:val="24"/>
        </w:rPr>
        <w:t>и ины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химических вещества</w:t>
      </w:r>
      <w:r>
        <w:rPr>
          <w:rFonts w:cs="Times New Roman"/>
          <w:szCs w:val="24"/>
        </w:rPr>
        <w:t>х</w:t>
      </w:r>
      <w:r w:rsidRPr="00147D02">
        <w:rPr>
          <w:rFonts w:cs="Times New Roman"/>
          <w:szCs w:val="24"/>
        </w:rPr>
        <w:t xml:space="preserve"> и отхода</w:t>
      </w:r>
      <w:r>
        <w:rPr>
          <w:rFonts w:cs="Times New Roman"/>
          <w:szCs w:val="24"/>
        </w:rPr>
        <w:t>х</w:t>
      </w:r>
      <w:proofErr w:type="gramStart"/>
      <w:r w:rsidRPr="00912783">
        <w:rPr>
          <w:lang w:eastAsia="ru-RU"/>
        </w:rPr>
        <w:t xml:space="preserve"> (%).</w:t>
      </w:r>
      <w:proofErr w:type="gramEnd"/>
    </w:p>
    <w:p w14:paraId="300342A6" w14:textId="06744EA6" w:rsidR="00C8596F" w:rsidRPr="00A343D5" w:rsidRDefault="00C8596F" w:rsidP="009127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08209E58" w14:textId="591E7EF7" w:rsidR="00C8596F" w:rsidRPr="00664789" w:rsidRDefault="00C25F50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664789">
        <w:rPr>
          <w:rFonts w:eastAsia="Arial Unicode MS" w:cs="Times New Roman"/>
          <w:szCs w:val="24"/>
          <w:bdr w:val="nil"/>
          <w:lang w:eastAsia="ru-RU"/>
        </w:rPr>
        <w:t>24</w:t>
      </w:r>
      <w:r w:rsidR="00147D02" w:rsidRPr="00664789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3B6975">
        <w:rPr>
          <w:rFonts w:eastAsia="Arial Unicode MS" w:cs="Times New Roman"/>
          <w:szCs w:val="24"/>
          <w:bdr w:val="nil"/>
          <w:lang w:eastAsia="ru-RU"/>
        </w:rPr>
        <w:t>я</w:t>
      </w:r>
      <w:r>
        <w:rPr>
          <w:rFonts w:eastAsia="Arial Unicode MS" w:cs="Times New Roman"/>
          <w:szCs w:val="24"/>
          <w:bdr w:val="nil"/>
          <w:lang w:eastAsia="ru-RU"/>
        </w:rPr>
        <w:t>нвар</w:t>
      </w:r>
      <w:r w:rsidR="00147D02">
        <w:rPr>
          <w:rFonts w:eastAsia="Arial Unicode MS" w:cs="Times New Roman"/>
          <w:szCs w:val="24"/>
          <w:bdr w:val="nil"/>
          <w:lang w:eastAsia="ru-RU"/>
        </w:rPr>
        <w:t>я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 w:rsidRPr="00664789">
        <w:rPr>
          <w:rFonts w:eastAsia="Arial Unicode MS" w:cs="Times New Roman"/>
          <w:szCs w:val="24"/>
          <w:bdr w:val="nil"/>
          <w:lang w:eastAsia="ru-RU"/>
        </w:rPr>
        <w:t>3</w:t>
      </w:r>
    </w:p>
    <w:p w14:paraId="666746BF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2311F0BE" w14:textId="624F7AD6" w:rsidR="00942EA9" w:rsidRPr="00664789" w:rsidRDefault="00032707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 w:rsidRPr="00032707">
        <w:rPr>
          <w:rStyle w:val="tlid-translation"/>
          <w:rFonts w:cs="Times New Roman"/>
          <w:szCs w:val="24"/>
        </w:rPr>
        <w:t xml:space="preserve">12.4.2, 12.5.1, 3.9.1, 3.9.2 </w:t>
      </w:r>
      <w:r>
        <w:rPr>
          <w:rStyle w:val="tlid-translation"/>
          <w:rFonts w:cs="Times New Roman"/>
          <w:szCs w:val="24"/>
        </w:rPr>
        <w:t>и</w:t>
      </w:r>
      <w:r w:rsidRPr="00032707">
        <w:rPr>
          <w:rStyle w:val="tlid-translation"/>
          <w:rFonts w:cs="Times New Roman"/>
          <w:szCs w:val="24"/>
        </w:rPr>
        <w:t xml:space="preserve"> 3.9.3</w:t>
      </w:r>
    </w:p>
    <w:p w14:paraId="024D7D52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71CD7386" w14:textId="77777777" w:rsidR="00032707" w:rsidRDefault="00032707" w:rsidP="0003270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032707">
        <w:t>Программа ООН по окружающей среде (ЮНЕП)</w:t>
      </w:r>
    </w:p>
    <w:p w14:paraId="71D5D97C" w14:textId="0AAC4EF8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C25308">
        <w:rPr>
          <w:b/>
          <w:color w:val="auto"/>
          <w:sz w:val="24"/>
          <w:szCs w:val="24"/>
          <w:lang w:val="ru-RU"/>
        </w:rPr>
        <w:t>Агентство-куратор</w:t>
      </w:r>
    </w:p>
    <w:p w14:paraId="340559EA" w14:textId="77777777" w:rsidR="00162B33" w:rsidRPr="00162B33" w:rsidRDefault="00957A62" w:rsidP="00162B33">
      <w:r w:rsidRPr="00162B33">
        <w:t>1.a. Организация</w:t>
      </w:r>
    </w:p>
    <w:p w14:paraId="4C574730" w14:textId="77777777" w:rsidR="00032707" w:rsidRDefault="00032707" w:rsidP="00032707">
      <w:pPr>
        <w:rPr>
          <w:rStyle w:val="tlid-translation"/>
          <w:rFonts w:cs="Times New Roman"/>
          <w:szCs w:val="24"/>
        </w:rPr>
      </w:pPr>
      <w:r w:rsidRPr="00032707">
        <w:rPr>
          <w:rStyle w:val="tlid-translation"/>
          <w:rFonts w:cs="Times New Roman"/>
          <w:szCs w:val="24"/>
        </w:rPr>
        <w:t>Программа ООН по окружающей среде (ЮНЕП)</w:t>
      </w:r>
    </w:p>
    <w:p w14:paraId="4B52ECD4" w14:textId="77777777" w:rsidR="0018458D" w:rsidRPr="00C25F50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C25F50">
        <w:rPr>
          <w:b/>
          <w:color w:val="auto"/>
          <w:sz w:val="24"/>
          <w:lang w:val="ru-RU"/>
        </w:rPr>
        <w:t xml:space="preserve">2. Определения, </w:t>
      </w:r>
      <w:r w:rsidR="00A41B68" w:rsidRPr="00C25F50">
        <w:rPr>
          <w:b/>
          <w:color w:val="auto"/>
          <w:sz w:val="24"/>
          <w:lang w:val="ru-RU"/>
        </w:rPr>
        <w:t>понятия</w:t>
      </w:r>
      <w:r w:rsidRPr="00C25F50">
        <w:rPr>
          <w:b/>
          <w:color w:val="auto"/>
          <w:sz w:val="24"/>
          <w:lang w:val="ru-RU"/>
        </w:rPr>
        <w:t xml:space="preserve"> и классификации</w:t>
      </w:r>
    </w:p>
    <w:p w14:paraId="47546C8A" w14:textId="72BDA6DA" w:rsidR="0018458D" w:rsidRPr="0018458D" w:rsidRDefault="0018458D" w:rsidP="0018458D">
      <w:r w:rsidRPr="0018458D">
        <w:lastRenderedPageBreak/>
        <w:t>Показатель относится к числу сторон (= стран, которые ратифицировали, приняли, одобрили или получили доступ) следующих многосторонних природоохранных соглашений (</w:t>
      </w:r>
      <w:r w:rsidR="004A1820">
        <w:t>MEA</w:t>
      </w:r>
      <w:r w:rsidRPr="0018458D">
        <w:t>):</w:t>
      </w:r>
    </w:p>
    <w:p w14:paraId="0CD4B6B7" w14:textId="50885AEB" w:rsidR="0018458D" w:rsidRPr="0018458D" w:rsidRDefault="0018458D" w:rsidP="00FD5FEC">
      <w:pPr>
        <w:pStyle w:val="ac"/>
        <w:numPr>
          <w:ilvl w:val="0"/>
          <w:numId w:val="3"/>
        </w:numPr>
      </w:pPr>
      <w:proofErr w:type="spellStart"/>
      <w:r w:rsidRPr="0018458D">
        <w:t>Базельская</w:t>
      </w:r>
      <w:proofErr w:type="spellEnd"/>
      <w:r w:rsidRPr="0018458D">
        <w:t xml:space="preserve"> конвенция о контроле за трансграничной перевозкой опасных отходов и их удалением (Базельская конвенция);</w:t>
      </w:r>
    </w:p>
    <w:p w14:paraId="57723005" w14:textId="7AF4EF7D" w:rsidR="0018458D" w:rsidRPr="0018458D" w:rsidRDefault="0018458D" w:rsidP="00FD5FEC">
      <w:pPr>
        <w:pStyle w:val="ac"/>
        <w:numPr>
          <w:ilvl w:val="0"/>
          <w:numId w:val="3"/>
        </w:numPr>
      </w:pPr>
      <w:proofErr w:type="spellStart"/>
      <w:r w:rsidRPr="0018458D">
        <w:t>Роттердамская</w:t>
      </w:r>
      <w:proofErr w:type="spellEnd"/>
      <w:r w:rsidRPr="0018458D">
        <w:t xml:space="preserve">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(Роттердамская конвенция);</w:t>
      </w:r>
    </w:p>
    <w:p w14:paraId="52A909BB" w14:textId="336767DB" w:rsidR="0018458D" w:rsidRPr="0018458D" w:rsidRDefault="0018458D" w:rsidP="00FD5FEC">
      <w:pPr>
        <w:pStyle w:val="ac"/>
        <w:numPr>
          <w:ilvl w:val="0"/>
          <w:numId w:val="3"/>
        </w:numPr>
      </w:pPr>
      <w:r w:rsidRPr="0018458D">
        <w:t>Стокгольмская конвенция о стойких органических загрязнителях (Стокгольмская конвенция);</w:t>
      </w:r>
    </w:p>
    <w:p w14:paraId="39E72393" w14:textId="41C632B6" w:rsidR="0018458D" w:rsidRPr="0018458D" w:rsidRDefault="0018458D" w:rsidP="00FD5FEC">
      <w:pPr>
        <w:pStyle w:val="ac"/>
        <w:numPr>
          <w:ilvl w:val="0"/>
          <w:numId w:val="3"/>
        </w:numPr>
      </w:pPr>
      <w:r w:rsidRPr="0018458D">
        <w:t>Монреальский протокол по веществам, разрушающим озоновый слой (Монреальский протокол);</w:t>
      </w:r>
    </w:p>
    <w:p w14:paraId="11395377" w14:textId="2154802E" w:rsidR="004F631B" w:rsidRDefault="0018458D" w:rsidP="00FD5FEC">
      <w:pPr>
        <w:pStyle w:val="ac"/>
        <w:numPr>
          <w:ilvl w:val="0"/>
          <w:numId w:val="3"/>
        </w:numPr>
      </w:pPr>
      <w:r w:rsidRPr="0018458D">
        <w:t>Минаматская конвенция о ртути (Минаматская</w:t>
      </w:r>
      <w:r w:rsidR="004F631B">
        <w:t xml:space="preserve"> конвенция),</w:t>
      </w:r>
    </w:p>
    <w:p w14:paraId="734C93AB" w14:textId="5480F079" w:rsidR="0018458D" w:rsidRDefault="0018458D" w:rsidP="0018458D">
      <w:r w:rsidRPr="0018458D">
        <w:t xml:space="preserve">которые представили информацию в секретариат каждого </w:t>
      </w:r>
      <w:r w:rsidR="004A1820">
        <w:t>MEA</w:t>
      </w:r>
      <w:r w:rsidRPr="0018458D">
        <w:t>, как того требует каждое из соглашений.</w:t>
      </w:r>
    </w:p>
    <w:p w14:paraId="5BC9FC15" w14:textId="77777777" w:rsidR="0018458D" w:rsidRPr="00637B19" w:rsidRDefault="0018458D" w:rsidP="0018458D">
      <w:pPr>
        <w:spacing w:after="200"/>
        <w:jc w:val="left"/>
        <w:rPr>
          <w:rFonts w:cs="Times New Roman"/>
        </w:rPr>
      </w:pPr>
      <w:r w:rsidRPr="00637B19">
        <w:rPr>
          <w:rFonts w:cs="Times New Roman"/>
        </w:rPr>
        <w:t>Необходимая информация:</w:t>
      </w:r>
    </w:p>
    <w:p w14:paraId="6ED8A04C" w14:textId="77777777" w:rsidR="0018458D" w:rsidRPr="0018458D" w:rsidRDefault="0018458D" w:rsidP="0018458D">
      <w:pPr>
        <w:spacing w:after="0"/>
        <w:jc w:val="left"/>
        <w:rPr>
          <w:rFonts w:cs="Times New Roman"/>
          <w:b/>
          <w:u w:val="single"/>
        </w:rPr>
      </w:pPr>
      <w:r w:rsidRPr="0018458D">
        <w:rPr>
          <w:rFonts w:cs="Times New Roman"/>
          <w:b/>
          <w:u w:val="single"/>
        </w:rPr>
        <w:t>Базельская конвенция</w:t>
      </w:r>
      <w:r w:rsidRPr="0018458D">
        <w:rPr>
          <w:rFonts w:cs="Times New Roman"/>
          <w:b/>
          <w:u w:val="single"/>
          <w:vertAlign w:val="superscript"/>
        </w:rPr>
        <w:footnoteReference w:id="1"/>
      </w:r>
      <w:r w:rsidRPr="0018458D">
        <w:rPr>
          <w:rFonts w:cs="Times New Roman"/>
          <w:b/>
          <w:u w:val="single"/>
        </w:rPr>
        <w:t>:</w:t>
      </w:r>
    </w:p>
    <w:p w14:paraId="078A6851" w14:textId="2634E290" w:rsidR="0018458D" w:rsidRPr="009F2CE2" w:rsidRDefault="0018458D" w:rsidP="00FD5FEC">
      <w:pPr>
        <w:pStyle w:val="ac"/>
        <w:numPr>
          <w:ilvl w:val="0"/>
          <w:numId w:val="4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Назначение координатора и одного или нескольких компетентных органов;</w:t>
      </w:r>
    </w:p>
    <w:p w14:paraId="63D0A3B2" w14:textId="5511F096" w:rsidR="0018458D" w:rsidRPr="009F2CE2" w:rsidRDefault="0018458D" w:rsidP="00FD5FEC">
      <w:pPr>
        <w:pStyle w:val="ac"/>
        <w:numPr>
          <w:ilvl w:val="0"/>
          <w:numId w:val="4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ежегодных национальных докладов.</w:t>
      </w:r>
    </w:p>
    <w:p w14:paraId="5624CD50" w14:textId="77777777" w:rsidR="0018458D" w:rsidRPr="0018458D" w:rsidRDefault="0018458D" w:rsidP="0018458D">
      <w:pPr>
        <w:spacing w:after="0"/>
        <w:jc w:val="left"/>
        <w:rPr>
          <w:rFonts w:cs="Times New Roman"/>
          <w:b/>
          <w:u w:val="single"/>
        </w:rPr>
      </w:pPr>
      <w:r w:rsidRPr="0018458D">
        <w:rPr>
          <w:rFonts w:cs="Times New Roman"/>
          <w:b/>
          <w:u w:val="single"/>
        </w:rPr>
        <w:t>Роттердамская конвенция:</w:t>
      </w:r>
    </w:p>
    <w:p w14:paraId="5CE5543F" w14:textId="7B0027DB" w:rsidR="0018458D" w:rsidRPr="009F2CE2" w:rsidRDefault="0018458D" w:rsidP="00FD5FEC">
      <w:pPr>
        <w:pStyle w:val="ac"/>
        <w:numPr>
          <w:ilvl w:val="0"/>
          <w:numId w:val="5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Назначение уполномоченного национального орган</w:t>
      </w:r>
      <w:proofErr w:type="gramStart"/>
      <w:r w:rsidRPr="009F2CE2">
        <w:rPr>
          <w:rFonts w:cs="Times New Roman"/>
        </w:rPr>
        <w:t>а(</w:t>
      </w:r>
      <w:proofErr w:type="gramEnd"/>
      <w:r w:rsidRPr="009F2CE2">
        <w:rPr>
          <w:rFonts w:cs="Times New Roman"/>
        </w:rPr>
        <w:t>-</w:t>
      </w:r>
      <w:proofErr w:type="spellStart"/>
      <w:r w:rsidRPr="009F2CE2">
        <w:rPr>
          <w:rFonts w:cs="Times New Roman"/>
        </w:rPr>
        <w:t>ов</w:t>
      </w:r>
      <w:proofErr w:type="spellEnd"/>
      <w:r w:rsidRPr="009F2CE2">
        <w:rPr>
          <w:rFonts w:cs="Times New Roman"/>
        </w:rPr>
        <w:t>) и официальных контактных лиц;</w:t>
      </w:r>
    </w:p>
    <w:p w14:paraId="64DDDB16" w14:textId="6AB87116" w:rsidR="0018458D" w:rsidRPr="009F2CE2" w:rsidRDefault="0018458D" w:rsidP="00FD5FEC">
      <w:pPr>
        <w:pStyle w:val="ac"/>
        <w:numPr>
          <w:ilvl w:val="0"/>
          <w:numId w:val="5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ответов об импорте.</w:t>
      </w:r>
    </w:p>
    <w:p w14:paraId="2E2AD1E8" w14:textId="77777777" w:rsidR="0018458D" w:rsidRPr="0018458D" w:rsidRDefault="0018458D" w:rsidP="0018458D">
      <w:pPr>
        <w:spacing w:after="0"/>
        <w:jc w:val="left"/>
        <w:rPr>
          <w:rFonts w:cs="Times New Roman"/>
          <w:b/>
          <w:u w:val="single"/>
        </w:rPr>
      </w:pPr>
      <w:r w:rsidRPr="0018458D">
        <w:rPr>
          <w:rFonts w:cs="Times New Roman"/>
          <w:b/>
          <w:u w:val="single"/>
        </w:rPr>
        <w:t>Стокгольмская конвенция</w:t>
      </w:r>
    </w:p>
    <w:p w14:paraId="3BC36EDF" w14:textId="5B47DCA1" w:rsidR="0018458D" w:rsidRPr="009F2CE2" w:rsidRDefault="0018458D" w:rsidP="00FD5FEC">
      <w:pPr>
        <w:pStyle w:val="ac"/>
        <w:numPr>
          <w:ilvl w:val="0"/>
          <w:numId w:val="6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Назначение официальных контактных лиц по Стокгольмской конвенции и национальных координационных центров;</w:t>
      </w:r>
    </w:p>
    <w:p w14:paraId="538146B0" w14:textId="3A9DEA26" w:rsidR="0018458D" w:rsidRPr="009F2CE2" w:rsidRDefault="0018458D" w:rsidP="00FD5FEC">
      <w:pPr>
        <w:pStyle w:val="ac"/>
        <w:numPr>
          <w:ilvl w:val="0"/>
          <w:numId w:val="6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национальных планов реализации;</w:t>
      </w:r>
    </w:p>
    <w:p w14:paraId="2181BA70" w14:textId="165F4E63" w:rsidR="0018458D" w:rsidRPr="009F2CE2" w:rsidRDefault="0018458D" w:rsidP="00FD5FEC">
      <w:pPr>
        <w:pStyle w:val="ac"/>
        <w:numPr>
          <w:ilvl w:val="0"/>
          <w:numId w:val="6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пересмотренного национального плана осуществления, касающегося поправок;</w:t>
      </w:r>
    </w:p>
    <w:p w14:paraId="08DA0EC4" w14:textId="4CCA4035" w:rsidR="0018458D" w:rsidRPr="009F2CE2" w:rsidRDefault="0018458D" w:rsidP="00FD5FEC">
      <w:pPr>
        <w:pStyle w:val="ac"/>
        <w:numPr>
          <w:ilvl w:val="0"/>
          <w:numId w:val="6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национальных докладов.</w:t>
      </w:r>
    </w:p>
    <w:p w14:paraId="307531E5" w14:textId="77777777" w:rsidR="0018458D" w:rsidRPr="0018458D" w:rsidRDefault="0018458D" w:rsidP="0018458D">
      <w:pPr>
        <w:spacing w:after="0"/>
        <w:jc w:val="left"/>
        <w:rPr>
          <w:rFonts w:cs="Times New Roman"/>
          <w:b/>
          <w:u w:val="single"/>
        </w:rPr>
      </w:pPr>
      <w:r w:rsidRPr="0018458D">
        <w:rPr>
          <w:rFonts w:cs="Times New Roman"/>
          <w:b/>
          <w:u w:val="single"/>
        </w:rPr>
        <w:t>Монреальский протокол:</w:t>
      </w:r>
    </w:p>
    <w:p w14:paraId="1B07FCFA" w14:textId="45A282D6" w:rsidR="0018458D" w:rsidRPr="009F2CE2" w:rsidRDefault="0018458D" w:rsidP="00FD5FEC">
      <w:pPr>
        <w:pStyle w:val="ac"/>
        <w:numPr>
          <w:ilvl w:val="0"/>
          <w:numId w:val="7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Соблюдение требований к отчетности в отношении производства и потребления озоноразрушающих веществ в соответствии со (статьей 7) Монреальского протокола;</w:t>
      </w:r>
    </w:p>
    <w:p w14:paraId="1C80D40C" w14:textId="059A310F" w:rsidR="0018458D" w:rsidRPr="009F2CE2" w:rsidRDefault="0018458D" w:rsidP="00FD5FEC">
      <w:pPr>
        <w:pStyle w:val="ac"/>
        <w:numPr>
          <w:ilvl w:val="0"/>
          <w:numId w:val="7"/>
        </w:numPr>
        <w:spacing w:after="0"/>
        <w:jc w:val="left"/>
        <w:rPr>
          <w:rFonts w:cs="Times New Roman"/>
        </w:rPr>
      </w:pPr>
      <w:r w:rsidRPr="009F2CE2">
        <w:rPr>
          <w:rFonts w:cs="Times New Roman"/>
        </w:rPr>
        <w:t>Представление информации о системах лицензирования согласно (статье 4В) Монреальского протокола.</w:t>
      </w:r>
    </w:p>
    <w:p w14:paraId="7CEB388F" w14:textId="68341F00" w:rsidR="00DB5BEB" w:rsidRPr="00DB5BEB" w:rsidRDefault="00DB5BEB" w:rsidP="00FD5FEC">
      <w:pPr>
        <w:pStyle w:val="a0"/>
        <w:numPr>
          <w:ilvl w:val="0"/>
          <w:numId w:val="7"/>
        </w:numPr>
      </w:pPr>
      <w:r w:rsidRPr="00DB5BEB">
        <w:lastRenderedPageBreak/>
        <w:t>Для каждой стороны присваивается процентное значение, указывающее, какой объем требуемой информации был представлен.</w:t>
      </w:r>
    </w:p>
    <w:p w14:paraId="15537FF1" w14:textId="77777777" w:rsidR="0018458D" w:rsidRPr="0018458D" w:rsidRDefault="0018458D" w:rsidP="0018458D">
      <w:pPr>
        <w:spacing w:after="0"/>
        <w:jc w:val="left"/>
        <w:rPr>
          <w:rFonts w:cs="Times New Roman"/>
          <w:b/>
          <w:u w:val="single"/>
        </w:rPr>
      </w:pPr>
      <w:r w:rsidRPr="0018458D">
        <w:rPr>
          <w:rFonts w:cs="Times New Roman"/>
          <w:b/>
          <w:u w:val="single"/>
        </w:rPr>
        <w:t>Минаматская конвенция:</w:t>
      </w:r>
    </w:p>
    <w:p w14:paraId="3F600124" w14:textId="6E8AF889" w:rsidR="0018458D" w:rsidRPr="006C385B" w:rsidRDefault="0018458D" w:rsidP="00FD5FEC">
      <w:pPr>
        <w:pStyle w:val="ac"/>
        <w:numPr>
          <w:ilvl w:val="0"/>
          <w:numId w:val="8"/>
        </w:numPr>
        <w:spacing w:after="0"/>
        <w:jc w:val="left"/>
        <w:rPr>
          <w:rFonts w:cs="Times New Roman"/>
        </w:rPr>
      </w:pPr>
      <w:r w:rsidRPr="006C385B">
        <w:rPr>
          <w:rFonts w:cs="Times New Roman"/>
        </w:rPr>
        <w:t>Назначение национального координационного центра для обмена информацией в соответствии со статьей 17 Конвенции;</w:t>
      </w:r>
    </w:p>
    <w:p w14:paraId="61188B95" w14:textId="3BA180D0" w:rsidR="0018458D" w:rsidRPr="006C385B" w:rsidRDefault="0018458D" w:rsidP="00FD5FEC">
      <w:pPr>
        <w:pStyle w:val="ac"/>
        <w:numPr>
          <w:ilvl w:val="0"/>
          <w:numId w:val="8"/>
        </w:numPr>
        <w:spacing w:after="0"/>
        <w:jc w:val="left"/>
        <w:rPr>
          <w:rFonts w:cs="Times New Roman"/>
        </w:rPr>
      </w:pPr>
      <w:r w:rsidRPr="006C385B">
        <w:rPr>
          <w:rFonts w:cs="Times New Roman"/>
        </w:rPr>
        <w:t>Представление национальных докладов в соответствии с требованиями статьи 21 Минаматской конвенции.</w:t>
      </w:r>
    </w:p>
    <w:p w14:paraId="05AFB43D" w14:textId="77777777" w:rsidR="0018458D" w:rsidRPr="0018458D" w:rsidRDefault="0018458D" w:rsidP="0018458D">
      <w:pPr>
        <w:rPr>
          <w:b/>
        </w:rPr>
      </w:pPr>
      <w:r w:rsidRPr="0018458D">
        <w:rPr>
          <w:b/>
        </w:rPr>
        <w:t>Основные понятия:</w:t>
      </w:r>
    </w:p>
    <w:p w14:paraId="2D2C92FD" w14:textId="29EC8B8A" w:rsidR="0018458D" w:rsidRDefault="0018458D" w:rsidP="0018458D">
      <w:r>
        <w:t xml:space="preserve">Стороны </w:t>
      </w:r>
      <w:r w:rsidRPr="006F0565">
        <w:rPr>
          <w:b/>
        </w:rPr>
        <w:t>Базельской конвенции</w:t>
      </w:r>
      <w:r>
        <w:t xml:space="preserve"> обязаны представлять ежегодный национальный доклад, как это предусмотрено в пункте 3 статьи 13, с тем, чтобы обеспечить </w:t>
      </w:r>
      <w:proofErr w:type="gramStart"/>
      <w:r>
        <w:t>контроль за</w:t>
      </w:r>
      <w:proofErr w:type="gramEnd"/>
      <w:r>
        <w:t xml:space="preserve"> осуществлением Базельской конвенции его Сторонами. </w:t>
      </w:r>
      <w:proofErr w:type="gramStart"/>
      <w:r>
        <w:t xml:space="preserve">Доклады должны включать, в частности, информацию о трансграничной перевозке опасных или других отходов, в которых участвуют Стороны, включая количество опасных отходов и других экспортируемых отходов, их категорию, характеристики, пункт назначения, любую страну транзита и способ </w:t>
      </w:r>
      <w:r w:rsidR="00622336">
        <w:t>утилизации</w:t>
      </w:r>
      <w:r>
        <w:t xml:space="preserve">, как указано в ответе на уведомление, количество опасных отходов и других </w:t>
      </w:r>
      <w:r w:rsidR="006316D6">
        <w:t xml:space="preserve">импортируемых </w:t>
      </w:r>
      <w:r>
        <w:t>отходов, их категори</w:t>
      </w:r>
      <w:r w:rsidR="006316D6">
        <w:t>ю</w:t>
      </w:r>
      <w:r>
        <w:t>, характеристик</w:t>
      </w:r>
      <w:r w:rsidR="00622336">
        <w:t>и</w:t>
      </w:r>
      <w:r>
        <w:t>, происхождени</w:t>
      </w:r>
      <w:r w:rsidR="00622336">
        <w:t>е и способ</w:t>
      </w:r>
      <w:r>
        <w:t xml:space="preserve"> </w:t>
      </w:r>
      <w:r w:rsidR="00622336">
        <w:t>утилизации</w:t>
      </w:r>
      <w:r>
        <w:t>;</w:t>
      </w:r>
      <w:proofErr w:type="gramEnd"/>
      <w:r>
        <w:t xml:space="preserve"> информацию об авариях, происшедших в ходе трансграничного перемещения и </w:t>
      </w:r>
      <w:r w:rsidR="0033217F">
        <w:t>утилизации</w:t>
      </w:r>
      <w:r>
        <w:t xml:space="preserve"> опасных отходов и других отходов, а также о мерах, принятых для их решения; информацию о вариантах </w:t>
      </w:r>
      <w:r w:rsidR="0033217F">
        <w:t>утилизации</w:t>
      </w:r>
      <w:r>
        <w:t>, которые действуют в пределах их национальной юрисдикции; и другую информацию в соответствии с форматом отчетности.</w:t>
      </w:r>
    </w:p>
    <w:p w14:paraId="220FC01D" w14:textId="50FA36A3" w:rsidR="0018458D" w:rsidRDefault="0018458D" w:rsidP="0018458D">
      <w:r>
        <w:t xml:space="preserve">Ответы об импорте в соответствии с </w:t>
      </w:r>
      <w:r w:rsidRPr="006F0565">
        <w:rPr>
          <w:b/>
        </w:rPr>
        <w:t>Роттердамской конвенцией</w:t>
      </w:r>
      <w:r>
        <w:t xml:space="preserve"> – это решения, представленные Сторонами, указывающие, согласятся ли они на импорт химических веществ, перечисленных в приложении III к Конвенции, и при условии процедуры предварите</w:t>
      </w:r>
      <w:r w:rsidR="00D566E6">
        <w:t>льного обоснованного согласия (</w:t>
      </w:r>
      <w:r w:rsidR="00D566E6">
        <w:rPr>
          <w:lang w:val="en-US"/>
        </w:rPr>
        <w:t>PIC</w:t>
      </w:r>
      <w:r>
        <w:t>). В статье 10 Роттердамской конвенции излагаются обязательства Сторон в отношении будущего импорта химических веществ, перечисленных в приложении III.</w:t>
      </w:r>
    </w:p>
    <w:p w14:paraId="5149E7F5" w14:textId="3EDE761D" w:rsidR="0018458D" w:rsidRDefault="0018458D" w:rsidP="0018458D">
      <w:r>
        <w:t xml:space="preserve">Согласно </w:t>
      </w:r>
      <w:r w:rsidRPr="006F0565">
        <w:rPr>
          <w:b/>
        </w:rPr>
        <w:t>Стокгольмской конвенции</w:t>
      </w:r>
      <w:r>
        <w:t>, Сторона обязана сообщать о мерах, которые она приняла для осуществления положений Конвенции, и об эффективности таких мер в целях достижения целей Конвенции. В национальные доклады включены статистические данные об общем объеме производства, импорт</w:t>
      </w:r>
      <w:r w:rsidR="004013D3">
        <w:t>е</w:t>
      </w:r>
      <w:r>
        <w:t xml:space="preserve"> и экспорт</w:t>
      </w:r>
      <w:r w:rsidR="004013D3">
        <w:t>е</w:t>
      </w:r>
      <w:r>
        <w:t xml:space="preserve"> каждого из химических веществ, перечисленных в приложении</w:t>
      </w:r>
      <w:proofErr w:type="gramStart"/>
      <w:r>
        <w:t xml:space="preserve"> А</w:t>
      </w:r>
      <w:proofErr w:type="gramEnd"/>
      <w:r>
        <w:t xml:space="preserve"> и приложении В, или разумн</w:t>
      </w:r>
      <w:r w:rsidR="004013D3">
        <w:t>ая</w:t>
      </w:r>
      <w:r>
        <w:t xml:space="preserve"> оценк</w:t>
      </w:r>
      <w:r w:rsidR="004013D3">
        <w:t>а</w:t>
      </w:r>
      <w:r>
        <w:t xml:space="preserve"> таких данных; и, насколько это практически возможно, список государств, из которых он импортировал каждое такое вещество, и государства, в которые он экспортировал каждое такое вещество. Национальный план осуществления в рамках Стокгольмской конвенции представляет собой план, поясняющий, каким образом Сторона </w:t>
      </w:r>
      <w:r w:rsidR="00546D3E">
        <w:t>собирается</w:t>
      </w:r>
      <w:r>
        <w:t xml:space="preserve"> выполнять обязательства по Конвенции и прилагает усилия для внедрения такого плана (статья 7). </w:t>
      </w:r>
      <w:proofErr w:type="gramStart"/>
      <w:r>
        <w:t>Изменения в обязательствах, вытекающих из поправок к Конвенции или приложениям к ней, например, когда</w:t>
      </w:r>
      <w:r w:rsidR="0063184D">
        <w:t xml:space="preserve"> </w:t>
      </w:r>
      <w:r w:rsidR="0063184D" w:rsidRPr="0063184D">
        <w:t>в приложени</w:t>
      </w:r>
      <w:r w:rsidR="0063184D">
        <w:t>е</w:t>
      </w:r>
      <w:r w:rsidR="0063184D" w:rsidRPr="0063184D">
        <w:t xml:space="preserve"> к Конвенции </w:t>
      </w:r>
      <w:r w:rsidR="0063184D">
        <w:t>включено</w:t>
      </w:r>
      <w:r w:rsidR="0063184D" w:rsidRPr="0063184D">
        <w:t xml:space="preserve"> нов</w:t>
      </w:r>
      <w:r w:rsidR="0063184D">
        <w:t>ое</w:t>
      </w:r>
      <w:r w:rsidR="0063184D" w:rsidRPr="0063184D">
        <w:t xml:space="preserve"> химическо</w:t>
      </w:r>
      <w:r w:rsidR="0063184D">
        <w:t>е</w:t>
      </w:r>
      <w:r w:rsidR="0063184D" w:rsidRPr="0063184D">
        <w:t xml:space="preserve"> веществ</w:t>
      </w:r>
      <w:r w:rsidR="0063184D">
        <w:t xml:space="preserve">о, </w:t>
      </w:r>
      <w:r w:rsidR="0063184D" w:rsidRPr="0063184D">
        <w:t>потребу</w:t>
      </w:r>
      <w:r w:rsidR="0063184D">
        <w:t>ют</w:t>
      </w:r>
      <w:r w:rsidR="0063184D" w:rsidRPr="0063184D">
        <w:t>, чтобы</w:t>
      </w:r>
      <w:r w:rsidR="0063184D">
        <w:t xml:space="preserve"> </w:t>
      </w:r>
      <w:r>
        <w:t xml:space="preserve">Сторона </w:t>
      </w:r>
      <w:r w:rsidR="0063184D">
        <w:t xml:space="preserve">обязательно </w:t>
      </w:r>
      <w:r w:rsidR="00544232">
        <w:t>пе</w:t>
      </w:r>
      <w:r w:rsidR="0063184D">
        <w:t>р</w:t>
      </w:r>
      <w:r w:rsidR="00544232">
        <w:t>е</w:t>
      </w:r>
      <w:r w:rsidR="0063184D">
        <w:t xml:space="preserve">смотрела </w:t>
      </w:r>
      <w:r>
        <w:t>и обнов</w:t>
      </w:r>
      <w:r w:rsidR="0063184D">
        <w:t>ила</w:t>
      </w:r>
      <w:r>
        <w:t xml:space="preserve"> свой план осуществления и </w:t>
      </w:r>
      <w:r w:rsidR="0063184D" w:rsidRPr="0063184D">
        <w:t>переда</w:t>
      </w:r>
      <w:r w:rsidR="0063184D">
        <w:t>ла</w:t>
      </w:r>
      <w:r w:rsidR="0063184D" w:rsidRPr="0063184D">
        <w:t xml:space="preserve"> обновленный план Конференции Сторон (</w:t>
      </w:r>
      <w:r w:rsidR="00AF331B">
        <w:rPr>
          <w:lang w:val="en-US"/>
        </w:rPr>
        <w:t>COP</w:t>
      </w:r>
      <w:r w:rsidR="0063184D" w:rsidRPr="0063184D">
        <w:t>) в течение двух лет после вступления в силу поправки к нему в соответствии с пунктом 1 (b) Конвенции (согласно пункту 7</w:t>
      </w:r>
      <w:proofErr w:type="gramEnd"/>
      <w:r w:rsidR="0063184D" w:rsidRPr="0063184D">
        <w:t xml:space="preserve"> приложения к решению </w:t>
      </w:r>
      <w:r w:rsidR="00AF331B">
        <w:rPr>
          <w:lang w:val="en-US"/>
        </w:rPr>
        <w:t>SC</w:t>
      </w:r>
      <w:r w:rsidR="00AF331B">
        <w:t>-</w:t>
      </w:r>
      <w:r w:rsidR="0063184D" w:rsidRPr="0063184D">
        <w:t>1/12).</w:t>
      </w:r>
    </w:p>
    <w:p w14:paraId="463800B7" w14:textId="6C68C422" w:rsidR="00130169" w:rsidRPr="00130169" w:rsidRDefault="009C4794" w:rsidP="005B0DB3">
      <w:r>
        <w:lastRenderedPageBreak/>
        <w:t>Согласно</w:t>
      </w:r>
      <w:r w:rsidR="004465D9">
        <w:t xml:space="preserve"> пункту 4 статьи 21 </w:t>
      </w:r>
      <w:r w:rsidRPr="005B0DB3">
        <w:rPr>
          <w:b/>
        </w:rPr>
        <w:t>Минаматск</w:t>
      </w:r>
      <w:r>
        <w:rPr>
          <w:b/>
        </w:rPr>
        <w:t>ой</w:t>
      </w:r>
      <w:r w:rsidRPr="005B0DB3">
        <w:rPr>
          <w:b/>
        </w:rPr>
        <w:t xml:space="preserve"> конвенци</w:t>
      </w:r>
      <w:r>
        <w:rPr>
          <w:b/>
        </w:rPr>
        <w:t>и</w:t>
      </w:r>
      <w:r>
        <w:t xml:space="preserve"> требуется, чтобы </w:t>
      </w:r>
      <w:r w:rsidR="00F44343">
        <w:t xml:space="preserve">каждая </w:t>
      </w:r>
      <w:r w:rsidR="004465D9">
        <w:t>С</w:t>
      </w:r>
      <w:r w:rsidR="00F44343">
        <w:t xml:space="preserve">торона </w:t>
      </w:r>
      <w:r w:rsidR="004465D9" w:rsidRPr="004465D9">
        <w:t>назнача</w:t>
      </w:r>
      <w:r w:rsidR="00544232">
        <w:t>ла</w:t>
      </w:r>
      <w:r w:rsidR="004465D9" w:rsidRPr="004465D9">
        <w:t xml:space="preserve"> национальн</w:t>
      </w:r>
      <w:r w:rsidR="004465D9">
        <w:t>ый</w:t>
      </w:r>
      <w:r w:rsidR="004465D9" w:rsidRPr="004465D9">
        <w:t xml:space="preserve"> координа</w:t>
      </w:r>
      <w:r w:rsidR="004465D9">
        <w:t>ционный центр</w:t>
      </w:r>
      <w:r w:rsidR="004465D9" w:rsidRPr="004465D9">
        <w:t xml:space="preserve"> для обмена информацией в рамках своей деятельности, в том числе в отношении согласия импортирующих Сторон в соответствии со статьей 3.</w:t>
      </w:r>
      <w:r w:rsidR="005B0DB3">
        <w:t xml:space="preserve"> </w:t>
      </w:r>
      <w:r w:rsidR="004465D9" w:rsidRPr="004465D9">
        <w:t xml:space="preserve">В соответствии со статьей 21 Минаматской конвенции каждая </w:t>
      </w:r>
      <w:r w:rsidR="00771DC9">
        <w:t>С</w:t>
      </w:r>
      <w:r w:rsidR="004465D9" w:rsidRPr="004465D9">
        <w:t xml:space="preserve">торона Конвенции отчитывается перед </w:t>
      </w:r>
      <w:r w:rsidR="006942B8">
        <w:rPr>
          <w:lang w:val="en-US"/>
        </w:rPr>
        <w:t>COP</w:t>
      </w:r>
      <w:r w:rsidR="006942B8" w:rsidRPr="006942B8">
        <w:t xml:space="preserve"> </w:t>
      </w:r>
      <w:r w:rsidR="004465D9" w:rsidRPr="004465D9">
        <w:t>о мерах, которые она приняла для выполнения положений Конвенции, об эффективности таких мер и о возможных проблемах</w:t>
      </w:r>
      <w:r w:rsidR="004465D9">
        <w:t xml:space="preserve"> в достижении целей Конвенции.</w:t>
      </w:r>
      <w:r w:rsidR="004465D9" w:rsidRPr="004465D9">
        <w:t xml:space="preserve"> В решении </w:t>
      </w:r>
      <w:r w:rsidR="006942B8">
        <w:rPr>
          <w:lang w:val="en-US"/>
        </w:rPr>
        <w:t>MC</w:t>
      </w:r>
      <w:r w:rsidR="004465D9" w:rsidRPr="004465D9">
        <w:t xml:space="preserve">-1/8 о сроках и формате отчетности Сторон </w:t>
      </w:r>
      <w:r w:rsidR="006942B8">
        <w:rPr>
          <w:lang w:val="en-US"/>
        </w:rPr>
        <w:t>COP</w:t>
      </w:r>
      <w:r w:rsidR="006942B8" w:rsidRPr="006942B8">
        <w:t xml:space="preserve"> </w:t>
      </w:r>
      <w:r w:rsidR="004465D9" w:rsidRPr="004465D9">
        <w:t xml:space="preserve">на своем первом совещании (2017 г.) согласовала полный формат отчетности и постановила, что каждая </w:t>
      </w:r>
      <w:r w:rsidR="0099171D">
        <w:t>Сторона будет отчитыва</w:t>
      </w:r>
      <w:r w:rsidR="0099171D" w:rsidRPr="0099171D">
        <w:t>т</w:t>
      </w:r>
      <w:r w:rsidR="0099171D">
        <w:t>ь</w:t>
      </w:r>
      <w:r w:rsidR="0099171D" w:rsidRPr="0099171D">
        <w:t xml:space="preserve">ся каждые четыре года, используя полный формат, и </w:t>
      </w:r>
      <w:r w:rsidR="00FF48FC">
        <w:t>отчи</w:t>
      </w:r>
      <w:r w:rsidR="00FF48FC" w:rsidRPr="0099171D">
        <w:t xml:space="preserve">тывается </w:t>
      </w:r>
      <w:r w:rsidR="0099171D" w:rsidRPr="0099171D">
        <w:t>каждые два года по четырем вопросам, отмеченным звездочкой, в полном формате.</w:t>
      </w:r>
      <w:r w:rsidR="00DE6112">
        <w:t xml:space="preserve"> </w:t>
      </w:r>
      <w:r w:rsidR="006942B8">
        <w:rPr>
          <w:lang w:val="en-US"/>
        </w:rPr>
        <w:t>COP</w:t>
      </w:r>
      <w:r w:rsidR="00F44343">
        <w:t xml:space="preserve"> также определила следующие сроки в отношении краткой и полной отчетности: 31 декабря 2019 года в качестве крайнего срока для первого кратког</w:t>
      </w:r>
      <w:r w:rsidR="00C861BA">
        <w:t xml:space="preserve">о </w:t>
      </w:r>
      <w:r w:rsidR="00FF48FC">
        <w:t xml:space="preserve">национального </w:t>
      </w:r>
      <w:r w:rsidR="00C861BA">
        <w:t xml:space="preserve">отчета; 31 декабря 2021 года в качестве </w:t>
      </w:r>
      <w:r w:rsidR="00F44343">
        <w:t>крайн</w:t>
      </w:r>
      <w:r w:rsidR="00C861BA">
        <w:t xml:space="preserve">его </w:t>
      </w:r>
      <w:r w:rsidR="00F44343">
        <w:t>срок</w:t>
      </w:r>
      <w:r w:rsidR="00C861BA">
        <w:t>а</w:t>
      </w:r>
      <w:r w:rsidR="00F44343">
        <w:t xml:space="preserve"> для представления первого полного </w:t>
      </w:r>
      <w:r w:rsidR="005B0932">
        <w:t xml:space="preserve">национального </w:t>
      </w:r>
      <w:r w:rsidR="00F44343">
        <w:t>отчета.</w:t>
      </w:r>
    </w:p>
    <w:p w14:paraId="2CAA6B4B" w14:textId="5EF63DF3" w:rsidR="00F44343" w:rsidRDefault="006043BD" w:rsidP="00F44343">
      <w:proofErr w:type="gramStart"/>
      <w:r w:rsidRPr="006043BD">
        <w:t xml:space="preserve">В соответствии со статьей 7 </w:t>
      </w:r>
      <w:proofErr w:type="spellStart"/>
      <w:r w:rsidRPr="00A24A5B">
        <w:rPr>
          <w:b/>
        </w:rPr>
        <w:t>Монреальского</w:t>
      </w:r>
      <w:proofErr w:type="spellEnd"/>
      <w:r w:rsidRPr="00A24A5B">
        <w:rPr>
          <w:b/>
        </w:rPr>
        <w:t xml:space="preserve"> протокола</w:t>
      </w:r>
      <w:r w:rsidRPr="006043BD">
        <w:t xml:space="preserve"> требуется, чтобы каждая Сторона предоставляла Секретариату по каждому регулируемому веществу статистические данные о своем годовом производстве, </w:t>
      </w:r>
      <w:r w:rsidR="00EA3BF3">
        <w:t>объем</w:t>
      </w:r>
      <w:r w:rsidRPr="006043BD">
        <w:t xml:space="preserve">ах, используемых в качестве сырья, </w:t>
      </w:r>
      <w:r w:rsidR="00EA3BF3">
        <w:t>объемах</w:t>
      </w:r>
      <w:r w:rsidRPr="006043BD">
        <w:t>, уничтожаемых с помощью технологий, одобренных Сторонами, импорт</w:t>
      </w:r>
      <w:r w:rsidR="00AD7DC3">
        <w:t>у</w:t>
      </w:r>
      <w:r w:rsidRPr="006043BD">
        <w:t xml:space="preserve"> из </w:t>
      </w:r>
      <w:r w:rsidR="00AD7DC3">
        <w:t>стран-</w:t>
      </w:r>
      <w:r w:rsidRPr="006043BD">
        <w:t>Сторон и экспорт</w:t>
      </w:r>
      <w:r w:rsidR="00AD7DC3">
        <w:t>у</w:t>
      </w:r>
      <w:r w:rsidRPr="006043BD">
        <w:t xml:space="preserve"> в страны</w:t>
      </w:r>
      <w:r w:rsidR="00281BD8">
        <w:t xml:space="preserve">-Стороны, </w:t>
      </w:r>
      <w:r w:rsidR="00AD7DC3">
        <w:t>импорту из стран,</w:t>
      </w:r>
      <w:r w:rsidRPr="006043BD">
        <w:t xml:space="preserve"> не являющи</w:t>
      </w:r>
      <w:r w:rsidR="00AD7DC3">
        <w:t>еся Сторонами, и экспорту в страны, не являющиеся Сторонами</w:t>
      </w:r>
      <w:r w:rsidR="00281BD8">
        <w:t>,</w:t>
      </w:r>
      <w:r w:rsidRPr="006043BD">
        <w:t xml:space="preserve"> соответственно, и количестве указанного регулируемого</w:t>
      </w:r>
      <w:proofErr w:type="gramEnd"/>
      <w:r w:rsidRPr="006043BD">
        <w:t xml:space="preserve"> вещества в приложении</w:t>
      </w:r>
      <w:proofErr w:type="gramStart"/>
      <w:r w:rsidRPr="006043BD">
        <w:t xml:space="preserve"> Е</w:t>
      </w:r>
      <w:proofErr w:type="gramEnd"/>
      <w:r w:rsidRPr="006043BD">
        <w:t xml:space="preserve">, используемом для карантинной обработки и обработки перед транспортировкой, за год, в течение которого положения, касающиеся этих веществ, вступили в силу для этой Стороны, и за каждый последующий год. Каждая Сторона также предоставляет Секретариату статистические данные о своих ежегодных выбросах </w:t>
      </w:r>
      <w:proofErr w:type="spellStart"/>
      <w:r w:rsidRPr="006043BD">
        <w:t>трифторметана</w:t>
      </w:r>
      <w:proofErr w:type="spellEnd"/>
      <w:r w:rsidRPr="006043BD">
        <w:t xml:space="preserve"> (HFC-23) в расчете на одно предприятие. Расчет уровней контроля приведен в статье 3 Протокола. Такая отчетность позволяет осуществлять мониторинг осуществления Протокола и соблюдения мер контроля, предусмотренных протоколом. Кроме того, в соответствии со статьей 4B каждая сторона обязана создать и внедрить систему лицензирования импорта и экспорта новых, использованных, рециркулированных и утилизированных регулируемых веществ. Каждая Сторона обязана в течение трех месяцев с даты введения своей системы лицензирования представить в Секретариат отчет о создании и функционировании этой системы.</w:t>
      </w:r>
    </w:p>
    <w:p w14:paraId="20E2DEC9" w14:textId="77777777" w:rsidR="00F44343" w:rsidRPr="00F44343" w:rsidRDefault="00F44343" w:rsidP="00F44343">
      <w:pPr>
        <w:pStyle w:val="a0"/>
      </w:pPr>
    </w:p>
    <w:p w14:paraId="3A8983E3" w14:textId="77777777"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14:paraId="48955E27" w14:textId="77777777" w:rsidR="00F44343" w:rsidRPr="00F44343" w:rsidRDefault="00F44343" w:rsidP="00F44343">
      <w:r w:rsidRPr="00F44343">
        <w:t xml:space="preserve">Для </w:t>
      </w:r>
      <w:r w:rsidRPr="00A24A5B">
        <w:rPr>
          <w:b/>
        </w:rPr>
        <w:t>Базельской, Роттердамской и Стокгольмской конвенций</w:t>
      </w:r>
      <w:r w:rsidRPr="00F44343">
        <w:t xml:space="preserve"> единицами измерения являются передача информации, такой как количество назначенных контактных лиц </w:t>
      </w:r>
      <w:r>
        <w:t xml:space="preserve">от </w:t>
      </w:r>
      <w:r w:rsidRPr="00F44343">
        <w:t>страны, количество национальных отчетов, национальных планов выполнения и ответов об импорте. Каждой стороне присваивается процентное значение, указывающее, какая часть необходимой информации была предоставлена.</w:t>
      </w:r>
    </w:p>
    <w:p w14:paraId="2549CAF9" w14:textId="77777777" w:rsidR="00F44343" w:rsidRPr="00F44343" w:rsidRDefault="00F44343" w:rsidP="00F44343">
      <w:r w:rsidRPr="00F44343">
        <w:t xml:space="preserve">Для </w:t>
      </w:r>
      <w:r w:rsidRPr="00AC1BF5">
        <w:rPr>
          <w:b/>
        </w:rPr>
        <w:t>Минаматской конвенции</w:t>
      </w:r>
      <w:r w:rsidRPr="00F44343">
        <w:t xml:space="preserve"> единицами измерения являются количество национальных координационных центров и количество полученных национальных отчетов. Каждой стороне присваивается процентное значение, указывающее, какой объем необходимой информации был предоставлен.</w:t>
      </w:r>
    </w:p>
    <w:p w14:paraId="60EAA778" w14:textId="150323A6" w:rsidR="00F44343" w:rsidRDefault="00F44343" w:rsidP="00F44343">
      <w:r w:rsidRPr="00F44343">
        <w:lastRenderedPageBreak/>
        <w:t>Для Монреальского протокола единицами измерения являются количество сторон, которые соблюдают свои обязательства по отчетности в отношении производства и потребления контролируемых веществ (статья 7) и представления информации о системах лицензирования (статья 4B).</w:t>
      </w:r>
      <w:r w:rsidR="00AC1BF5" w:rsidRPr="00AC1BF5">
        <w:t xml:space="preserve"> </w:t>
      </w:r>
      <w:r w:rsidRPr="00F44343">
        <w:t>Каждой стороне присваивается процентное значение, указывающее, какой объем необходимой информации был предоставлен.</w:t>
      </w:r>
    </w:p>
    <w:p w14:paraId="2527805C" w14:textId="77777777"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5B475FEE" w14:textId="1A6D2C2C" w:rsidR="00B723A8" w:rsidRPr="00B723A8" w:rsidRDefault="00B723A8" w:rsidP="00F44343">
      <w:pPr>
        <w:pStyle w:val="MHeader2"/>
        <w:spacing w:line="276" w:lineRule="auto"/>
        <w:rPr>
          <w:bCs/>
          <w:color w:val="auto"/>
          <w:sz w:val="24"/>
          <w:szCs w:val="24"/>
          <w:lang w:val="ru-RU"/>
        </w:rPr>
      </w:pPr>
      <w:r w:rsidRPr="00B723A8">
        <w:rPr>
          <w:bCs/>
          <w:color w:val="auto"/>
          <w:sz w:val="24"/>
          <w:szCs w:val="24"/>
          <w:lang w:val="ru-RU"/>
        </w:rPr>
        <w:t>На региональном и глобальном уровнях показатель представлен в соответствии со стандартными кодами стран или районов для статистического использования (классификация стран и регионов ООН M49).</w:t>
      </w:r>
    </w:p>
    <w:p w14:paraId="7774141F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3B34ED23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787A2590" w14:textId="537EC413" w:rsidR="00F44343" w:rsidRPr="00F44343" w:rsidRDefault="00F44343" w:rsidP="00FD5FEC">
      <w:pPr>
        <w:pStyle w:val="ac"/>
        <w:numPr>
          <w:ilvl w:val="0"/>
          <w:numId w:val="9"/>
        </w:numPr>
      </w:pPr>
      <w:proofErr w:type="spellStart"/>
      <w:r w:rsidRPr="00F44343">
        <w:t>Базельская</w:t>
      </w:r>
      <w:proofErr w:type="spellEnd"/>
      <w:r w:rsidRPr="00F44343">
        <w:t xml:space="preserve"> конвенция: национальные координационные центры, система электронной отчетности для ежегодных национальных докладов;</w:t>
      </w:r>
    </w:p>
    <w:p w14:paraId="00FFFAF4" w14:textId="18A09910" w:rsidR="00F44343" w:rsidRPr="00F44343" w:rsidRDefault="00F44343" w:rsidP="00FD5FEC">
      <w:pPr>
        <w:pStyle w:val="ac"/>
        <w:numPr>
          <w:ilvl w:val="0"/>
          <w:numId w:val="9"/>
        </w:numPr>
      </w:pPr>
      <w:proofErr w:type="spellStart"/>
      <w:r w:rsidRPr="00F44343">
        <w:t>Роттердамская</w:t>
      </w:r>
      <w:proofErr w:type="spellEnd"/>
      <w:r w:rsidRPr="00F44343">
        <w:t xml:space="preserve"> конвенция: официальные контактные лица,</w:t>
      </w:r>
      <w:r w:rsidR="00E03A66" w:rsidRPr="00E03A66">
        <w:t xml:space="preserve"> назначенные национальные органы</w:t>
      </w:r>
      <w:r w:rsidR="00E03A66">
        <w:t>,</w:t>
      </w:r>
      <w:r w:rsidRPr="00F44343">
        <w:t xml:space="preserve"> циркуляр по </w:t>
      </w:r>
      <w:r w:rsidR="006942B8">
        <w:rPr>
          <w:lang w:val="en-US"/>
        </w:rPr>
        <w:t>PIC</w:t>
      </w:r>
      <w:r w:rsidRPr="00F44343">
        <w:t xml:space="preserve"> (процедура предварительного обоснованного согласия) для ответов об импорте;</w:t>
      </w:r>
    </w:p>
    <w:p w14:paraId="774B1D02" w14:textId="44AB0C9C" w:rsidR="00F44343" w:rsidRPr="00F44343" w:rsidRDefault="00F44343" w:rsidP="00FD5FEC">
      <w:pPr>
        <w:pStyle w:val="ac"/>
        <w:numPr>
          <w:ilvl w:val="0"/>
          <w:numId w:val="9"/>
        </w:numPr>
      </w:pPr>
      <w:r w:rsidRPr="00F44343">
        <w:t>Стокгольмская конвенция: официальные контактные пункты; система электронной отчетности для национальных докладов каждые четыре года, национальные планы осуществления;</w:t>
      </w:r>
    </w:p>
    <w:p w14:paraId="17A4C2AD" w14:textId="5C29602C" w:rsidR="00F44343" w:rsidRPr="00F44343" w:rsidRDefault="00F44343" w:rsidP="00FD5FEC">
      <w:pPr>
        <w:pStyle w:val="ac"/>
        <w:numPr>
          <w:ilvl w:val="0"/>
          <w:numId w:val="9"/>
        </w:numPr>
      </w:pPr>
      <w:r w:rsidRPr="00F44343">
        <w:t>Монреальский протокол: национальные координационные центры;</w:t>
      </w:r>
    </w:p>
    <w:p w14:paraId="4FD0FADE" w14:textId="1AD4BB73" w:rsidR="00E156E0" w:rsidRPr="00E156E0" w:rsidRDefault="00F44343" w:rsidP="00FD5FEC">
      <w:pPr>
        <w:pStyle w:val="ac"/>
        <w:numPr>
          <w:ilvl w:val="0"/>
          <w:numId w:val="9"/>
        </w:numPr>
      </w:pPr>
      <w:r w:rsidRPr="00F44343">
        <w:t>Минаматская конвенция: национальные координационные центры.</w:t>
      </w:r>
    </w:p>
    <w:p w14:paraId="27CD98ED" w14:textId="77777777" w:rsidR="00995788" w:rsidRPr="00A343D5" w:rsidRDefault="000A229E" w:rsidP="0059496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1570884D" w14:textId="77777777" w:rsidR="00F44343" w:rsidRDefault="00F44343" w:rsidP="00F44343">
      <w:r w:rsidRPr="00F44343">
        <w:t>Сбор данных осуществляется секретариатом Базельской, Роттердамской и Стокгольмской конвенций от координационных центров по Базельской конвенции, официальных контактных лиц по Роттердамской конвенции, официальных контактных лиц по Стокгольмской конвенции, секретариатом по озону от национальных координационных центров по Монреальскому протоколу, а также секретариатом Минаматской конвенции от национальных координационных центров по Минаматской конвенции.</w:t>
      </w:r>
    </w:p>
    <w:p w14:paraId="1929C166" w14:textId="77777777" w:rsidR="009E707C" w:rsidRDefault="009E707C" w:rsidP="008C7B00">
      <w:pPr>
        <w:rPr>
          <w:b/>
          <w:szCs w:val="24"/>
        </w:rPr>
      </w:pPr>
      <w:r w:rsidRPr="009E707C">
        <w:rPr>
          <w:szCs w:val="24"/>
        </w:rPr>
        <w:t>3.</w:t>
      </w:r>
      <w:r w:rsidR="00900860">
        <w:rPr>
          <w:szCs w:val="24"/>
        </w:rPr>
        <w:t>с</w:t>
      </w:r>
      <w:r w:rsidRPr="009E707C">
        <w:rPr>
          <w:b/>
          <w:szCs w:val="24"/>
        </w:rPr>
        <w:t>.</w:t>
      </w:r>
      <w:r w:rsidR="00900860">
        <w:rPr>
          <w:b/>
          <w:szCs w:val="24"/>
        </w:rPr>
        <w:t xml:space="preserve"> </w:t>
      </w:r>
      <w:r w:rsidRPr="009E707C">
        <w:rPr>
          <w:b/>
          <w:szCs w:val="24"/>
        </w:rPr>
        <w:t xml:space="preserve">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14:paraId="71ED2E35" w14:textId="1C65DC59" w:rsidR="00F44343" w:rsidRPr="00F44343" w:rsidRDefault="00F44343" w:rsidP="00FD5FEC">
      <w:pPr>
        <w:pStyle w:val="ac"/>
        <w:numPr>
          <w:ilvl w:val="0"/>
          <w:numId w:val="10"/>
        </w:numPr>
      </w:pPr>
      <w:r w:rsidRPr="00F44343">
        <w:t>Первый цикл отчетности: 2017 год;</w:t>
      </w:r>
    </w:p>
    <w:p w14:paraId="3312A463" w14:textId="2E14DF97" w:rsidR="00F44343" w:rsidRPr="00F44343" w:rsidRDefault="00F44343" w:rsidP="00FD5FEC">
      <w:pPr>
        <w:pStyle w:val="ac"/>
        <w:numPr>
          <w:ilvl w:val="0"/>
          <w:numId w:val="10"/>
        </w:numPr>
      </w:pPr>
      <w:r w:rsidRPr="00F44343">
        <w:t>Второй цикл отчетности: 2020 год;</w:t>
      </w:r>
    </w:p>
    <w:p w14:paraId="6D392AA0" w14:textId="312B888E" w:rsidR="00F44343" w:rsidRPr="00F44343" w:rsidRDefault="00F44343" w:rsidP="00FD5FEC">
      <w:pPr>
        <w:pStyle w:val="ac"/>
        <w:numPr>
          <w:ilvl w:val="0"/>
          <w:numId w:val="10"/>
        </w:numPr>
      </w:pPr>
      <w:r w:rsidRPr="00F44343">
        <w:t>Третий цикл отчетности: 2025 год;</w:t>
      </w:r>
    </w:p>
    <w:p w14:paraId="452532F6" w14:textId="43E789B5" w:rsidR="00F44343" w:rsidRPr="00F44343" w:rsidRDefault="00F44343" w:rsidP="00FD5FEC">
      <w:pPr>
        <w:pStyle w:val="ac"/>
        <w:numPr>
          <w:ilvl w:val="0"/>
          <w:numId w:val="10"/>
        </w:numPr>
      </w:pPr>
      <w:r w:rsidRPr="00F44343">
        <w:t>Четвертый цикл отчетности: 2030 год.</w:t>
      </w:r>
    </w:p>
    <w:p w14:paraId="3F20E481" w14:textId="77777777"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6BEAFA3C" w14:textId="3B63F6EA" w:rsidR="00F44343" w:rsidRPr="00F44343" w:rsidRDefault="008F67BA" w:rsidP="00FD5FEC">
      <w:pPr>
        <w:pStyle w:val="ac"/>
        <w:numPr>
          <w:ilvl w:val="0"/>
          <w:numId w:val="11"/>
        </w:numPr>
      </w:pPr>
      <w:r>
        <w:t>Согласно результатам</w:t>
      </w:r>
      <w:r w:rsidRPr="008F67BA">
        <w:t xml:space="preserve"> первого цикла отчетност</w:t>
      </w:r>
      <w:r>
        <w:t>и</w:t>
      </w:r>
      <w:r w:rsidR="00F44343" w:rsidRPr="00F44343">
        <w:t xml:space="preserve">: </w:t>
      </w:r>
      <w:r>
        <w:t xml:space="preserve">данные за </w:t>
      </w:r>
      <w:r w:rsidR="00F44343" w:rsidRPr="00F44343">
        <w:t>2010-2014 годы;</w:t>
      </w:r>
    </w:p>
    <w:p w14:paraId="308EB3AD" w14:textId="615C5F0C" w:rsidR="00F44343" w:rsidRPr="00F44343" w:rsidRDefault="008F67BA" w:rsidP="00FD5FEC">
      <w:pPr>
        <w:pStyle w:val="ac"/>
        <w:numPr>
          <w:ilvl w:val="0"/>
          <w:numId w:val="11"/>
        </w:numPr>
      </w:pPr>
      <w:r>
        <w:t>Согласно результатам</w:t>
      </w:r>
      <w:r w:rsidRPr="008F67BA">
        <w:t xml:space="preserve"> </w:t>
      </w:r>
      <w:r>
        <w:t>второго</w:t>
      </w:r>
      <w:r w:rsidRPr="008F67BA">
        <w:t xml:space="preserve"> цикла отчетност</w:t>
      </w:r>
      <w:r>
        <w:t>и</w:t>
      </w:r>
      <w:r w:rsidRPr="00F44343">
        <w:t xml:space="preserve">: </w:t>
      </w:r>
      <w:r>
        <w:t>данные за</w:t>
      </w:r>
      <w:r w:rsidRPr="00F44343">
        <w:t xml:space="preserve"> </w:t>
      </w:r>
      <w:r w:rsidR="00F44343" w:rsidRPr="00F44343">
        <w:t>2015-2019 годы;</w:t>
      </w:r>
    </w:p>
    <w:p w14:paraId="6D8FD2A1" w14:textId="7D4C2995" w:rsidR="00F44343" w:rsidRPr="00F44343" w:rsidRDefault="008F67BA" w:rsidP="00FD5FEC">
      <w:pPr>
        <w:pStyle w:val="ac"/>
        <w:numPr>
          <w:ilvl w:val="0"/>
          <w:numId w:val="11"/>
        </w:numPr>
      </w:pPr>
      <w:r>
        <w:t>Согласно результатам</w:t>
      </w:r>
      <w:r w:rsidRPr="008F67BA">
        <w:t xml:space="preserve"> </w:t>
      </w:r>
      <w:r>
        <w:t>третьего</w:t>
      </w:r>
      <w:r w:rsidRPr="008F67BA">
        <w:t xml:space="preserve"> цикла отчетност</w:t>
      </w:r>
      <w:r>
        <w:t>и</w:t>
      </w:r>
      <w:r w:rsidRPr="00F44343">
        <w:t xml:space="preserve">: </w:t>
      </w:r>
      <w:r>
        <w:t>данные за</w:t>
      </w:r>
      <w:r w:rsidRPr="00F44343">
        <w:t xml:space="preserve"> </w:t>
      </w:r>
      <w:r w:rsidR="00F44343" w:rsidRPr="00F44343">
        <w:t>2020-2024 годы;</w:t>
      </w:r>
    </w:p>
    <w:p w14:paraId="41906213" w14:textId="70F81139" w:rsidR="00F44343" w:rsidRPr="00F44343" w:rsidRDefault="008F67BA" w:rsidP="00FD5FEC">
      <w:pPr>
        <w:pStyle w:val="ac"/>
        <w:numPr>
          <w:ilvl w:val="0"/>
          <w:numId w:val="11"/>
        </w:numPr>
      </w:pPr>
      <w:r>
        <w:t>Согласно результатам</w:t>
      </w:r>
      <w:r w:rsidRPr="008F67BA">
        <w:t xml:space="preserve"> </w:t>
      </w:r>
      <w:r>
        <w:t xml:space="preserve">четвертого </w:t>
      </w:r>
      <w:r w:rsidRPr="008F67BA">
        <w:t>цикла отчетност</w:t>
      </w:r>
      <w:r>
        <w:t>и</w:t>
      </w:r>
      <w:r w:rsidRPr="00F44343">
        <w:t xml:space="preserve">: </w:t>
      </w:r>
      <w:r>
        <w:t>данные за</w:t>
      </w:r>
      <w:r w:rsidRPr="00F44343">
        <w:t xml:space="preserve"> </w:t>
      </w:r>
      <w:r w:rsidR="00F44343" w:rsidRPr="00F44343">
        <w:t>2025-2029 годы.</w:t>
      </w:r>
    </w:p>
    <w:p w14:paraId="5B0F48D8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746A6D6B" w14:textId="0EE67EFD" w:rsidR="00F44343" w:rsidRPr="00F44343" w:rsidRDefault="00F44343" w:rsidP="00FD5FEC">
      <w:pPr>
        <w:pStyle w:val="ac"/>
        <w:numPr>
          <w:ilvl w:val="0"/>
          <w:numId w:val="12"/>
        </w:numPr>
      </w:pPr>
      <w:r w:rsidRPr="00F44343">
        <w:lastRenderedPageBreak/>
        <w:t>Координационные центры и компетентные органы по Базельской конвенции (18</w:t>
      </w:r>
      <w:r w:rsidR="00883D97">
        <w:t>9</w:t>
      </w:r>
      <w:r w:rsidRPr="00F44343">
        <w:t xml:space="preserve"> Сторон);</w:t>
      </w:r>
    </w:p>
    <w:p w14:paraId="31F491BD" w14:textId="44AA114E" w:rsidR="00F44343" w:rsidRPr="00F44343" w:rsidRDefault="00F44343" w:rsidP="00FD5FEC">
      <w:pPr>
        <w:pStyle w:val="ac"/>
        <w:numPr>
          <w:ilvl w:val="0"/>
          <w:numId w:val="12"/>
        </w:numPr>
      </w:pPr>
      <w:r w:rsidRPr="00F44343">
        <w:t>Назначенные национальные органы и официальные контактные лица по Роттердамской конвенции (1</w:t>
      </w:r>
      <w:r w:rsidR="00883D97">
        <w:t>65</w:t>
      </w:r>
      <w:r w:rsidRPr="00F44343">
        <w:t xml:space="preserve"> Сторон);</w:t>
      </w:r>
    </w:p>
    <w:p w14:paraId="0E87E0D8" w14:textId="7DE220F0" w:rsidR="00F44343" w:rsidRPr="00F44343" w:rsidRDefault="00F44343" w:rsidP="00FD5FEC">
      <w:pPr>
        <w:pStyle w:val="ac"/>
        <w:numPr>
          <w:ilvl w:val="0"/>
          <w:numId w:val="12"/>
        </w:numPr>
      </w:pPr>
      <w:r w:rsidRPr="00F44343">
        <w:t>Официальные контактные лица и национальные координационные центры по Стокгольмской конвенции (1</w:t>
      </w:r>
      <w:r w:rsidR="00883D97">
        <w:t>85</w:t>
      </w:r>
      <w:r w:rsidRPr="00F44343">
        <w:t xml:space="preserve"> Сторон);</w:t>
      </w:r>
    </w:p>
    <w:p w14:paraId="0DC98880" w14:textId="4118DE5F" w:rsidR="00F44343" w:rsidRPr="00F44343" w:rsidRDefault="00F44343" w:rsidP="00FD5FEC">
      <w:pPr>
        <w:pStyle w:val="ac"/>
        <w:numPr>
          <w:ilvl w:val="0"/>
          <w:numId w:val="12"/>
        </w:numPr>
      </w:pPr>
      <w:r w:rsidRPr="00F44343">
        <w:t xml:space="preserve">Координационные центры по </w:t>
      </w:r>
      <w:proofErr w:type="spellStart"/>
      <w:r w:rsidRPr="00F44343">
        <w:t>Монреальскому</w:t>
      </w:r>
      <w:proofErr w:type="spellEnd"/>
      <w:r w:rsidRPr="00F44343">
        <w:t xml:space="preserve"> протоколу (19</w:t>
      </w:r>
      <w:r w:rsidR="00883D97">
        <w:t>8</w:t>
      </w:r>
      <w:r w:rsidRPr="00F44343">
        <w:t xml:space="preserve"> Сторон);</w:t>
      </w:r>
    </w:p>
    <w:p w14:paraId="07865BAA" w14:textId="49A77375" w:rsidR="00F44343" w:rsidRDefault="00F44343" w:rsidP="00FD5FEC">
      <w:pPr>
        <w:pStyle w:val="ac"/>
        <w:numPr>
          <w:ilvl w:val="0"/>
          <w:numId w:val="12"/>
        </w:numPr>
      </w:pPr>
      <w:r w:rsidRPr="00F44343">
        <w:t xml:space="preserve">Координационные центры обмена информацией и национальные координационные центры по Минаматской конвенции (в настоящее время - </w:t>
      </w:r>
      <w:r w:rsidR="00883D97">
        <w:t>1</w:t>
      </w:r>
      <w:r w:rsidRPr="00F44343">
        <w:t>3</w:t>
      </w:r>
      <w:r w:rsidR="00883D97">
        <w:t>7</w:t>
      </w:r>
      <w:r w:rsidRPr="00F44343">
        <w:t xml:space="preserve"> Сторон).</w:t>
      </w:r>
    </w:p>
    <w:p w14:paraId="48772EF9" w14:textId="77777777" w:rsidR="000A229E" w:rsidRPr="00A343D5" w:rsidRDefault="000A229E" w:rsidP="00F4434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1F51D25D" w14:textId="77777777" w:rsidR="00F44343" w:rsidRDefault="00F44343" w:rsidP="00F44343">
      <w:pPr>
        <w:ind w:left="567"/>
      </w:pPr>
      <w:r>
        <w:t>1. Секретариат Базельской, Роттердамской и Стокгольмской конвенций;</w:t>
      </w:r>
    </w:p>
    <w:p w14:paraId="20FFED57" w14:textId="6E35C9BB" w:rsidR="00F44343" w:rsidRDefault="00F44343" w:rsidP="00F44343">
      <w:pPr>
        <w:ind w:left="567"/>
      </w:pPr>
      <w:r>
        <w:t xml:space="preserve">2. </w:t>
      </w:r>
      <w:r w:rsidR="00F94114" w:rsidRPr="00F94114">
        <w:t xml:space="preserve">Секретариат </w:t>
      </w:r>
      <w:proofErr w:type="spellStart"/>
      <w:r w:rsidR="00F94114" w:rsidRPr="00F94114">
        <w:t>Монреальского</w:t>
      </w:r>
      <w:proofErr w:type="spellEnd"/>
      <w:r w:rsidR="00F94114" w:rsidRPr="00F94114">
        <w:t xml:space="preserve"> протокола </w:t>
      </w:r>
      <w:r w:rsidR="00F94114">
        <w:t xml:space="preserve">(Секретариат </w:t>
      </w:r>
      <w:r>
        <w:t>по озону</w:t>
      </w:r>
      <w:r w:rsidR="00F94114">
        <w:t>)</w:t>
      </w:r>
      <w:r>
        <w:t>;</w:t>
      </w:r>
    </w:p>
    <w:p w14:paraId="1540D4E3" w14:textId="6F46BC69" w:rsidR="0056571B" w:rsidRDefault="00F44343" w:rsidP="00F94114">
      <w:pPr>
        <w:ind w:left="567"/>
      </w:pPr>
      <w:r>
        <w:t>3. Секретариат Минаматской конвенции.</w:t>
      </w:r>
    </w:p>
    <w:p w14:paraId="7333B75E" w14:textId="77777777"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063C3E00" w14:textId="4BC0D1E2" w:rsidR="0028588B" w:rsidRPr="0028588B" w:rsidRDefault="00030BF5" w:rsidP="0028588B">
      <w:r w:rsidRPr="00D560A1">
        <w:rPr>
          <w:b/>
        </w:rPr>
        <w:t>Базельская конвенция:</w:t>
      </w:r>
      <w:r w:rsidRPr="00030BF5">
        <w:t xml:space="preserve"> в соответствии со статьей 5 Базельской конвенции Стороны должны назначить или создать один или несколько компетентных органов и один координационный центр для содействия осуществлению Конвенции. Стороны также обязаны информировать Секретариат о любых изменениях, касающихся назначений, сделанных ими. Конференция Сторон</w:t>
      </w:r>
      <w:r w:rsidR="0028588B">
        <w:t xml:space="preserve"> (</w:t>
      </w:r>
      <w:r w:rsidR="006942B8">
        <w:rPr>
          <w:lang w:val="en-US"/>
        </w:rPr>
        <w:t>COP</w:t>
      </w:r>
      <w:r w:rsidR="0028588B">
        <w:t>)</w:t>
      </w:r>
      <w:r w:rsidRPr="00030BF5">
        <w:t xml:space="preserve"> приняла стандартную форму уведомления о назначении контактов (решение </w:t>
      </w:r>
      <w:r w:rsidR="006942B8">
        <w:rPr>
          <w:lang w:val="en-US"/>
        </w:rPr>
        <w:t>BC</w:t>
      </w:r>
      <w:r w:rsidRPr="00030BF5">
        <w:t>-11/21), которую Сторонам предлагается использовать для передачи информации в секретариат, включая изменения.</w:t>
      </w:r>
    </w:p>
    <w:p w14:paraId="0F31F527" w14:textId="4FF72A86" w:rsidR="0028588B" w:rsidRPr="0028588B" w:rsidRDefault="00030BF5" w:rsidP="0028588B">
      <w:r w:rsidRPr="00030BF5">
        <w:t>Список компетентных органов и координационных центров Базельской конвенции поддержива</w:t>
      </w:r>
      <w:r w:rsidR="00D122C0">
        <w:t xml:space="preserve">ется и регулярно обновляется на </w:t>
      </w:r>
      <w:hyperlink r:id="rId9" w:history="1">
        <w:r w:rsidR="00D122C0">
          <w:rPr>
            <w:rStyle w:val="ad"/>
          </w:rPr>
          <w:t>веб-сайте Конвенции</w:t>
        </w:r>
      </w:hyperlink>
      <w:r w:rsidR="0028588B">
        <w:t>.</w:t>
      </w:r>
    </w:p>
    <w:p w14:paraId="7AF0A343" w14:textId="27841A81" w:rsidR="0028588B" w:rsidRDefault="00030BF5" w:rsidP="00030BF5">
      <w:r w:rsidRPr="00030BF5">
        <w:t xml:space="preserve">Для обеспечения возможности мониторинга выполнения Базельской конвенции ее Сторонами и представления докладов по этому вопросу </w:t>
      </w:r>
      <w:r w:rsidR="006942B8">
        <w:rPr>
          <w:lang w:val="en-US"/>
        </w:rPr>
        <w:t>COP</w:t>
      </w:r>
      <w:r w:rsidR="006942B8" w:rsidRPr="006942B8">
        <w:t xml:space="preserve"> </w:t>
      </w:r>
      <w:r w:rsidR="006942B8">
        <w:t xml:space="preserve">на </w:t>
      </w:r>
      <w:r w:rsidR="006942B8" w:rsidRPr="00030BF5">
        <w:t>регулярно</w:t>
      </w:r>
      <w:r w:rsidR="006942B8">
        <w:t>й основе,</w:t>
      </w:r>
      <w:r w:rsidR="006942B8" w:rsidRPr="00030BF5">
        <w:t xml:space="preserve"> </w:t>
      </w:r>
      <w:r w:rsidRPr="00030BF5">
        <w:t>Конвенция устанавливает механизм для Сторон, позволяющий передавать информацию о</w:t>
      </w:r>
      <w:r w:rsidR="00A248E2">
        <w:t>б</w:t>
      </w:r>
      <w:r w:rsidRPr="00030BF5">
        <w:t xml:space="preserve"> </w:t>
      </w:r>
      <w:r w:rsidR="00A248E2">
        <w:t>исполнении</w:t>
      </w:r>
      <w:r w:rsidRPr="00030BF5">
        <w:t xml:space="preserve"> Конвенции. В соответствии со статьей 13 Стороны </w:t>
      </w:r>
      <w:r w:rsidR="00A248E2">
        <w:t>согласно</w:t>
      </w:r>
      <w:r w:rsidRPr="00030BF5">
        <w:t xml:space="preserve"> национальным</w:t>
      </w:r>
      <w:r w:rsidR="00A248E2">
        <w:t xml:space="preserve"> законам</w:t>
      </w:r>
      <w:r w:rsidRPr="00030BF5">
        <w:t xml:space="preserve"> и постановлениям направляют через секретариат Конференции Сторон, учрежденной в соответствии со статьей 15, до конца каждого календарного года отчет за предыдущий календарный год.</w:t>
      </w:r>
    </w:p>
    <w:p w14:paraId="34024E1B" w14:textId="7CB42CDC" w:rsidR="00030BF5" w:rsidRPr="00030BF5" w:rsidRDefault="00030BF5" w:rsidP="00030BF5">
      <w:r w:rsidRPr="00030BF5">
        <w:t>Статья 13 уполномочивает Секретариат получать и распространять</w:t>
      </w:r>
      <w:r>
        <w:t xml:space="preserve"> этот и другие типы информации.</w:t>
      </w:r>
    </w:p>
    <w:p w14:paraId="577B2099" w14:textId="32661AE1" w:rsidR="00030BF5" w:rsidRPr="00030BF5" w:rsidRDefault="00030BF5" w:rsidP="00030BF5">
      <w:r w:rsidRPr="0095361E">
        <w:rPr>
          <w:b/>
        </w:rPr>
        <w:t>Роттердамская конвенция:</w:t>
      </w:r>
      <w:r w:rsidRPr="00030BF5">
        <w:t xml:space="preserve"> В соответствии со статьей 4 Роттердамской конвенции каждая Сторона должна назначить один или несколько национальных органов, которые будут уполномочены действовать от ее имени при выполнении административных функций, требуемых Конвенцией. Секретариат также связывается с о</w:t>
      </w:r>
      <w:r w:rsidR="000E7EE5">
        <w:t>фициальным контактным лицом (</w:t>
      </w:r>
      <w:r w:rsidR="0065315C">
        <w:rPr>
          <w:lang w:val="en-US"/>
        </w:rPr>
        <w:t>OCP</w:t>
      </w:r>
      <w:r w:rsidRPr="00030BF5">
        <w:t xml:space="preserve">) Стороны по официальным вопросам. Здесь </w:t>
      </w:r>
      <w:r w:rsidR="0065315C">
        <w:rPr>
          <w:lang w:val="en-US"/>
        </w:rPr>
        <w:t>COP</w:t>
      </w:r>
      <w:r w:rsidR="000E7EE5">
        <w:t xml:space="preserve"> (</w:t>
      </w:r>
      <w:r w:rsidRPr="00030BF5">
        <w:t>Конференция Сторон</w:t>
      </w:r>
      <w:r w:rsidR="000E7EE5">
        <w:t>)</w:t>
      </w:r>
      <w:r w:rsidRPr="00030BF5">
        <w:t xml:space="preserve"> также приняла стандартную форму уведомления о назначении контактов (решение RC-6/13), которую Сторонам предлагается использовать для передачи информации в секретариат. База данных контактов доступна на </w:t>
      </w:r>
      <w:hyperlink r:id="rId10" w:history="1">
        <w:r w:rsidR="0065315C">
          <w:rPr>
            <w:rStyle w:val="ad"/>
          </w:rPr>
          <w:t>веб-сайте Роттердамской конвенции</w:t>
        </w:r>
      </w:hyperlink>
      <w:r w:rsidR="0065315C" w:rsidRPr="006307AE">
        <w:t>.</w:t>
      </w:r>
      <w:r w:rsidRPr="00030BF5">
        <w:t xml:space="preserve"> </w:t>
      </w:r>
    </w:p>
    <w:p w14:paraId="299E6FAA" w14:textId="6112ADE1" w:rsidR="00030BF5" w:rsidRPr="00030BF5" w:rsidRDefault="00030BF5" w:rsidP="00030BF5">
      <w:r w:rsidRPr="00030BF5">
        <w:lastRenderedPageBreak/>
        <w:t>Статья 10 Конвенции устанавливает обязательства Сторон в отношении будущего импорта химических веществ, перечисленных в Приложении III. Стороны имеют постоянное обязательство пред</w:t>
      </w:r>
      <w:r w:rsidR="00A248E2">
        <w:t>оставля</w:t>
      </w:r>
      <w:r w:rsidRPr="00030BF5">
        <w:t>ть в секретариат как можно скорее и в любом случае не позднее чем через девять месяцев после даты отправки документа для содействия принятию решения свой ответ по импорту</w:t>
      </w:r>
      <w:r w:rsidR="000E7EE5">
        <w:rPr>
          <w:rStyle w:val="a7"/>
        </w:rPr>
        <w:footnoteReference w:id="2"/>
      </w:r>
      <w:r w:rsidRPr="00030BF5">
        <w:t xml:space="preserve"> (окончательный или промежуточный) относительно будущего импорта химического. Если Сторона изменяет свой ответ, она обязана немедленно представить ис</w:t>
      </w:r>
      <w:r>
        <w:t>правленный ответ в секретариат.</w:t>
      </w:r>
    </w:p>
    <w:p w14:paraId="3E2E9DAE" w14:textId="77777777" w:rsidR="00030BF5" w:rsidRPr="00030BF5" w:rsidRDefault="00030BF5" w:rsidP="00030BF5">
      <w:r w:rsidRPr="00030BF5">
        <w:t xml:space="preserve">Статья 14 в дополнение к другим соответствующим статьям наделяет Секретариат полномочиями по содействию обмену информацией. Секретариат поддерживает различные базы данных информации на веб-сайте Конвенции, основанные на сообщениях Сторон, например, профили стран, база данных ответов об импорте, сборник </w:t>
      </w:r>
      <w:r>
        <w:t>национального законодательства.</w:t>
      </w:r>
    </w:p>
    <w:p w14:paraId="78B2D711" w14:textId="482000B8" w:rsidR="00FE7051" w:rsidRPr="00FE7051" w:rsidRDefault="00030BF5" w:rsidP="00FE7051">
      <w:r w:rsidRPr="007B2227">
        <w:rPr>
          <w:b/>
        </w:rPr>
        <w:t>Стокгольмская конвенция:</w:t>
      </w:r>
      <w:r w:rsidRPr="00030BF5">
        <w:t xml:space="preserve"> в соответствии со статьей 9 Стокгольмской конвенции каждая Сторона назначает национальный координационный центр для обмена информацией, упомянутой в пункте 1 статьи 9. В соответствии с решением </w:t>
      </w:r>
      <w:hyperlink r:id="rId11" w:history="1">
        <w:r w:rsidR="00961E2C" w:rsidRPr="00961E2C">
          <w:rPr>
            <w:rStyle w:val="ad"/>
            <w:lang w:val="en-GB"/>
          </w:rPr>
          <w:t>SC</w:t>
        </w:r>
        <w:r w:rsidR="00961E2C" w:rsidRPr="00961E2C">
          <w:rPr>
            <w:rStyle w:val="ad"/>
          </w:rPr>
          <w:t>-2/16</w:t>
        </w:r>
      </w:hyperlink>
      <w:r w:rsidR="00961E2C" w:rsidRPr="00961E2C">
        <w:t xml:space="preserve"> </w:t>
      </w:r>
      <w:r w:rsidRPr="00030BF5">
        <w:t xml:space="preserve">второго совещания Конференции Сторон Стокгольмской конвенции Сторонам предлагается назначить Официальные контактные лица. Пересмотренная согласованная форма уведомления о назначении контактов была также принята Конференцией Сторон Стокгольмской конвенции для уведомления о контактах, включая изменения (решение </w:t>
      </w:r>
      <w:r w:rsidR="00F9714C" w:rsidRPr="00F9714C">
        <w:t>SC-6/26</w:t>
      </w:r>
      <w:r w:rsidRPr="00030BF5">
        <w:t xml:space="preserve">). Секретариат также поддерживает для этой Конвенции </w:t>
      </w:r>
      <w:hyperlink r:id="rId12" w:history="1">
        <w:r w:rsidR="00961E2C">
          <w:rPr>
            <w:rStyle w:val="ad"/>
          </w:rPr>
          <w:t>базу данных контактов по странам</w:t>
        </w:r>
      </w:hyperlink>
      <w:r w:rsidR="00FE7051">
        <w:t>.</w:t>
      </w:r>
    </w:p>
    <w:p w14:paraId="1FE01704" w14:textId="22CB4B06" w:rsidR="00030BF5" w:rsidRPr="00030BF5" w:rsidRDefault="00030BF5" w:rsidP="00030BF5">
      <w:r w:rsidRPr="00030BF5">
        <w:t xml:space="preserve">Стороны Стокгольмской конвенции </w:t>
      </w:r>
      <w:r w:rsidR="004B738E">
        <w:t>обязаны</w:t>
      </w:r>
      <w:r w:rsidRPr="00030BF5">
        <w:t xml:space="preserve"> разраб</w:t>
      </w:r>
      <w:r w:rsidR="0004196A">
        <w:t>атывать</w:t>
      </w:r>
      <w:r w:rsidRPr="00030BF5">
        <w:t>, стремиться к реализации, обновлять и пересматривать, в зависимости от обстоятельств, план, объясняющий, как они собираются выполнять обязательства по Конвенции (статья 7) («</w:t>
      </w:r>
      <w:r w:rsidR="004B738E">
        <w:t>Н</w:t>
      </w:r>
      <w:r w:rsidRPr="00030BF5">
        <w:t>ациональные планы выполнения»). Планы размещены на сайте Конвенции.</w:t>
      </w:r>
    </w:p>
    <w:p w14:paraId="72DFBC75" w14:textId="77777777" w:rsidR="00030BF5" w:rsidRPr="00030BF5" w:rsidRDefault="00030BF5" w:rsidP="00030BF5">
      <w:r w:rsidRPr="00030BF5">
        <w:t>Кроме того, в статье 9 указывается, что Стороны содействуют или осуществляют обмен информацией, касающейся сокращения или прекращения производства, использования и выбросов стойких органических загрязнителей и их альтернатив, напрямую и</w:t>
      </w:r>
      <w:r w:rsidR="0004196A" w:rsidRPr="0004196A">
        <w:t>/</w:t>
      </w:r>
      <w:r w:rsidRPr="00030BF5">
        <w:t>или через секретариат.</w:t>
      </w:r>
    </w:p>
    <w:p w14:paraId="0C4DC3B3" w14:textId="78BDD7D4" w:rsidR="00030BF5" w:rsidRDefault="00030BF5" w:rsidP="00030BF5">
      <w:r w:rsidRPr="00030BF5">
        <w:t>Национальный отчет содержит информацию о мерах, принятых Стороной по выполнению Стокгольмской конвенции. Информация, представленная в национальных докладах, является одной из основных ссылок, которые должны использоваться для оценки эффективности Конвенции в соответствии со статьей 16. Конференция Сторон (</w:t>
      </w:r>
      <w:r w:rsidR="000B2991">
        <w:rPr>
          <w:lang w:val="en-US"/>
        </w:rPr>
        <w:t>COP</w:t>
      </w:r>
      <w:r w:rsidRPr="00030BF5">
        <w:t xml:space="preserve">) на своем первом совещании </w:t>
      </w:r>
      <w:r w:rsidR="0004196A">
        <w:t>приняла решение</w:t>
      </w:r>
      <w:r w:rsidRPr="00030BF5">
        <w:t xml:space="preserve">, что </w:t>
      </w:r>
      <w:r w:rsidRPr="004B738E">
        <w:rPr>
          <w:b/>
        </w:rPr>
        <w:t>национальные доклады</w:t>
      </w:r>
      <w:r w:rsidRPr="00030BF5">
        <w:t xml:space="preserve"> должны пода</w:t>
      </w:r>
      <w:r w:rsidR="0004196A">
        <w:t>ваться</w:t>
      </w:r>
      <w:r w:rsidRPr="00030BF5">
        <w:t xml:space="preserve"> каждые четыре года. </w:t>
      </w:r>
      <w:proofErr w:type="gramStart"/>
      <w:r w:rsidR="000B2991">
        <w:rPr>
          <w:lang w:val="en-US"/>
        </w:rPr>
        <w:t>OCP</w:t>
      </w:r>
      <w:r w:rsidR="004B738E">
        <w:t xml:space="preserve"> (О</w:t>
      </w:r>
      <w:r w:rsidRPr="00030BF5">
        <w:t>фициальный контактный пункт</w:t>
      </w:r>
      <w:r w:rsidR="004B738E">
        <w:t>)</w:t>
      </w:r>
      <w:r w:rsidRPr="00030BF5">
        <w:t xml:space="preserve"> имеет право представлять в Секретариат национальный отчет.</w:t>
      </w:r>
      <w:proofErr w:type="gramEnd"/>
    </w:p>
    <w:p w14:paraId="1E5972C9" w14:textId="778B1FFE" w:rsidR="00030BF5" w:rsidRDefault="004B738E" w:rsidP="00030BF5">
      <w:r w:rsidRPr="004B738E">
        <w:rPr>
          <w:b/>
        </w:rPr>
        <w:t>Минаматская конвенция:</w:t>
      </w:r>
      <w:r>
        <w:t xml:space="preserve"> </w:t>
      </w:r>
      <w:r w:rsidR="00030BF5">
        <w:t xml:space="preserve">Стороны обратились к секретариату Минаматской конвенции с просьбой содействовать сотрудничеству в обмене информацией, упомянутой в статье 17, в том числе в отношении назначения национальных координационных центров, в соответствии с пунктом 3 статьи 17 Минаматской конвенции. Статья 24 Конвенции также </w:t>
      </w:r>
      <w:r w:rsidR="00030BF5">
        <w:lastRenderedPageBreak/>
        <w:t>включает функции секретариата, в частности, по оказанию помощи Сторонам в обмене информацией, связанной с осуществлением Конвенции, а также в подготовке и представлении Сторонам периодических отчетов на основе информации, полученной</w:t>
      </w:r>
      <w:r w:rsidR="0004196A">
        <w:t xml:space="preserve"> в соответствии со Статьей </w:t>
      </w:r>
      <w:r w:rsidR="00030BF5">
        <w:t>21.</w:t>
      </w:r>
    </w:p>
    <w:p w14:paraId="68954ACE" w14:textId="47B07126" w:rsidR="00030BF5" w:rsidRDefault="005640D9" w:rsidP="00030BF5">
      <w:r w:rsidRPr="005640D9">
        <w:rPr>
          <w:b/>
        </w:rPr>
        <w:t>Монреальский протокол:</w:t>
      </w:r>
      <w:r>
        <w:t xml:space="preserve"> в</w:t>
      </w:r>
      <w:r w:rsidR="00030BF5">
        <w:t xml:space="preserve"> соответствии с Монреальским протоколом роль секретариата оговаривается в статье 12 Протокола, включая обязательство получать данные, предоставляемые в соответствии со статьей 7. Кроме того, в соответствии со статьей 4B каждая Сторона должна в течение трех месяцев с даты представления сво</w:t>
      </w:r>
      <w:r w:rsidR="0004196A">
        <w:t xml:space="preserve">ей систему лицензирования </w:t>
      </w:r>
      <w:r w:rsidR="00030BF5">
        <w:t>отчитываться перед Секретариатом о создании и функционировании этой системы.</w:t>
      </w:r>
    </w:p>
    <w:p w14:paraId="4263AD1C" w14:textId="43606009" w:rsidR="00030BF5" w:rsidRPr="00030BF5" w:rsidRDefault="00030BF5" w:rsidP="00030BF5">
      <w:r>
        <w:t xml:space="preserve">Соблюдение Сторонами своих обязательств по отчетности рассматривается Комитетом по выполнению, созданным в соответствии с Процедурой несоблюдения Протокола, и определяется Совещанием Сторон на основе рекомендаций Комитета </w:t>
      </w:r>
      <w:r w:rsidR="00E056D5">
        <w:t>(</w:t>
      </w:r>
      <w:hyperlink r:id="rId13" w:history="1">
        <w:r w:rsidR="005640D9" w:rsidRPr="00964DEE">
          <w:rPr>
            <w:rStyle w:val="ad"/>
          </w:rPr>
          <w:t>https://ozone.unep.org/list-of-implementation-committee-recommendations</w:t>
        </w:r>
      </w:hyperlink>
      <w:r w:rsidR="00E056D5">
        <w:t>).</w:t>
      </w:r>
    </w:p>
    <w:p w14:paraId="04F4D0B6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3EF778CF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36E27ADC" w14:textId="77777777" w:rsidR="0004196A" w:rsidRPr="0004196A" w:rsidRDefault="0004196A" w:rsidP="0004196A">
      <w:r w:rsidRPr="0004196A">
        <w:t>Предлагаемый показатель ориентирован на процесс, направленный на соблюдение обязательств, которые вносят вклад в достижение общей цели обеспечения экологически обоснованного регулирования химических веществ и всех отходов на протяжении всего их жизненного цикла.</w:t>
      </w:r>
    </w:p>
    <w:p w14:paraId="299025B6" w14:textId="3C9089A2" w:rsidR="0004196A" w:rsidRDefault="0004196A" w:rsidP="0004196A">
      <w:r w:rsidRPr="0004196A">
        <w:t xml:space="preserve">Он не измеряет количество химических веществ в средах и не оценивает количественно неблагоприятные воздействия на здоровье человека и окружающую среду. Тем не менее, </w:t>
      </w:r>
      <w:r w:rsidR="004A1820">
        <w:t>MEA</w:t>
      </w:r>
      <w:r w:rsidRPr="0004196A">
        <w:t xml:space="preserve"> были разработаны и приняты для решения наиболее неотложных проблем для здоровья человека и окружающей среды, и поэтому благодаря внедрению </w:t>
      </w:r>
      <w:r w:rsidR="00F9714C">
        <w:rPr>
          <w:lang w:val="en-US"/>
        </w:rPr>
        <w:t>MEA</w:t>
      </w:r>
      <w:r w:rsidRPr="0004196A">
        <w:t xml:space="preserve"> </w:t>
      </w:r>
      <w:proofErr w:type="gramStart"/>
      <w:r w:rsidRPr="0004196A">
        <w:t>будет</w:t>
      </w:r>
      <w:proofErr w:type="gramEnd"/>
      <w:r w:rsidRPr="0004196A">
        <w:t xml:space="preserve"> достигнут прогресс в сокращении выбросов в воздух, воду и почву, а также в присутствии опасных химических веществ в продукты.</w:t>
      </w:r>
    </w:p>
    <w:p w14:paraId="1A037E27" w14:textId="77777777" w:rsidR="002E15F9" w:rsidRPr="00A343D5" w:rsidRDefault="002E15F9" w:rsidP="000419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130B5924" w14:textId="77777777" w:rsidR="004F3B53" w:rsidRPr="004F3B53" w:rsidRDefault="004F3B53" w:rsidP="004F3B53">
      <w:pPr>
        <w:rPr>
          <w:rStyle w:val="tlid-translation"/>
          <w:szCs w:val="24"/>
        </w:rPr>
      </w:pPr>
      <w:r w:rsidRPr="004F3B53">
        <w:rPr>
          <w:rStyle w:val="tlid-translation"/>
          <w:szCs w:val="24"/>
        </w:rPr>
        <w:t>Передача информации в соответствии с требованиями пяти конвенций осуществляется в различное время. Именно по этой причине отчетность по этому показателю запланирована на пятилетние циклы, что позволит зафиксировать соответствие Сторон соглашениям о передаче информации в рамках всех конвенций.</w:t>
      </w:r>
    </w:p>
    <w:p w14:paraId="6551E74A" w14:textId="38C74E1C" w:rsidR="00E41A7D" w:rsidRDefault="00E41A7D" w:rsidP="00390633">
      <w:pPr>
        <w:pStyle w:val="MHeader2"/>
        <w:spacing w:line="276" w:lineRule="auto"/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</w:pPr>
      <w:proofErr w:type="gramStart"/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 xml:space="preserve">Пожалуйста, также обратите внимание, что сроки представления отчетности по Минаматской конвенции были согласованы в соответствии с решением </w:t>
      </w:r>
      <w:r w:rsidR="00BC72C0">
        <w:rPr>
          <w:rStyle w:val="tlid-translation"/>
          <w:rFonts w:eastAsiaTheme="minorHAnsi" w:cstheme="minorBidi"/>
          <w:color w:val="auto"/>
          <w:sz w:val="24"/>
          <w:szCs w:val="24"/>
          <w:lang w:val="en-US" w:eastAsia="en-US"/>
        </w:rPr>
        <w:t>MC</w:t>
      </w:r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 xml:space="preserve">-1/8, с указанием крайних сроков представления краткой и полной отчетности: 31 декабря 2019 года </w:t>
      </w:r>
      <w:r w:rsidR="002D1D7E" w:rsidRPr="002D1D7E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>–</w:t>
      </w:r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 xml:space="preserve"> крайний срок представления первого краткого национального доклада и 31 декабря 2021 года </w:t>
      </w:r>
      <w:r w:rsidR="002D1D7E" w:rsidRPr="002D1D7E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>–</w:t>
      </w:r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 xml:space="preserve"> крайний срок представления первого полного национального доклада.</w:t>
      </w:r>
      <w:proofErr w:type="gramEnd"/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t xml:space="preserve"> Исходя из установленных сроков, из этого следует, что для первых кратких докладов отчетный период охватывает период с 16 августа 2017 года (дата вступления Конвенции в силу) по 31 декабря 2018 года (должны быть представлены к 31 декабря 2019 года), а для первых полных докладов отчетный период охватывает 16 августа 2017 года до 31 декабря 2020 года (должно быть представлено к 31 декабря 2021 года). Затем цикл будет повторен, с </w:t>
      </w:r>
      <w:r w:rsidRPr="00E41A7D">
        <w:rPr>
          <w:rStyle w:val="tlid-translation"/>
          <w:rFonts w:eastAsiaTheme="minorHAnsi" w:cstheme="minorBidi"/>
          <w:color w:val="auto"/>
          <w:sz w:val="24"/>
          <w:szCs w:val="24"/>
          <w:lang w:val="ru-RU" w:eastAsia="en-US"/>
        </w:rPr>
        <w:lastRenderedPageBreak/>
        <w:t>последующими краткими отчетами, охватывающими период с 1 января 2021 года по 31 декабря 2022 года, и последующими полными отчетами, охватывающими период с 1 января 2021 года по 31 декабря 2024 года, и так далее.</w:t>
      </w:r>
    </w:p>
    <w:p w14:paraId="5B9AD57D" w14:textId="60603158" w:rsidR="00D273C6" w:rsidRDefault="002E15F9" w:rsidP="0039063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5DFD1019" w14:textId="77777777" w:rsidR="004F3B53" w:rsidRPr="004F3B53" w:rsidRDefault="004F3B53" w:rsidP="004F3B53">
      <w:pPr>
        <w:spacing w:after="200"/>
        <w:rPr>
          <w:rFonts w:cs="Times New Roman"/>
          <w:szCs w:val="24"/>
        </w:rPr>
      </w:pPr>
      <w:r w:rsidRPr="004F3B53">
        <w:rPr>
          <w:rFonts w:cs="Times New Roman"/>
          <w:szCs w:val="24"/>
        </w:rPr>
        <w:t>В следующей методологии отчетность планируется представить в 2017 году за отчетный период 2010-2014 годов, в 2020 году за период 2015-2019 годов, в 2025 году за период 2020-2024 годов и в 2030 году за период 2025-2029 годов. Параметры отчетности включают следующее:</w:t>
      </w:r>
    </w:p>
    <w:p w14:paraId="505F7A4E" w14:textId="77777777" w:rsidR="004F3B53" w:rsidRPr="004F3B53" w:rsidRDefault="004F3B53" w:rsidP="004F3B53">
      <w:pPr>
        <w:spacing w:after="200"/>
        <w:rPr>
          <w:rFonts w:cs="Times New Roman"/>
          <w:szCs w:val="24"/>
        </w:rPr>
      </w:pPr>
      <w:r w:rsidRPr="004F3B53">
        <w:rPr>
          <w:rFonts w:cs="Times New Roman"/>
          <w:szCs w:val="24"/>
        </w:rPr>
        <w:t>Оценка страны зависит от объема информации, которая отправляется в Секретариат конвенций, и рассчитывается следующим образом (и передается секретариатами):</w:t>
      </w:r>
    </w:p>
    <w:p w14:paraId="79E3D966" w14:textId="77777777" w:rsidR="004F3B53" w:rsidRPr="004F3B53" w:rsidRDefault="004F3B53" w:rsidP="004F3B53">
      <w:pPr>
        <w:spacing w:after="200"/>
        <w:rPr>
          <w:rFonts w:cs="Times New Roman"/>
          <w:b/>
          <w:szCs w:val="24"/>
          <w:u w:val="single"/>
        </w:rPr>
      </w:pPr>
      <w:r w:rsidRPr="004F3B53">
        <w:rPr>
          <w:rFonts w:cs="Times New Roman"/>
          <w:b/>
          <w:szCs w:val="24"/>
          <w:u w:val="single"/>
        </w:rPr>
        <w:t>Базельская конвенция:</w:t>
      </w:r>
    </w:p>
    <w:p w14:paraId="351820CE" w14:textId="4E354583" w:rsidR="004F3B53" w:rsidRPr="002D1D7E" w:rsidRDefault="004F3B53" w:rsidP="00FD5FEC">
      <w:pPr>
        <w:pStyle w:val="ac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2D1D7E">
        <w:rPr>
          <w:rFonts w:cs="Times New Roman"/>
          <w:szCs w:val="24"/>
        </w:rPr>
        <w:t>Назначение координатора и одного или нескольких компетентных органов (1 балл);</w:t>
      </w:r>
    </w:p>
    <w:p w14:paraId="79AF5753" w14:textId="7747F94F" w:rsidR="004F3B53" w:rsidRPr="002D1D7E" w:rsidRDefault="004F3B53" w:rsidP="00FD5FEC">
      <w:pPr>
        <w:pStyle w:val="ac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2D1D7E">
        <w:rPr>
          <w:rFonts w:cs="Times New Roman"/>
          <w:szCs w:val="24"/>
        </w:rPr>
        <w:t>Представление годовых национальных отчетов за отчетный период (1 балл за отчет).</w:t>
      </w:r>
    </w:p>
    <w:p w14:paraId="56B5F8D9" w14:textId="77777777" w:rsidR="004F3B53" w:rsidRPr="004F3B53" w:rsidRDefault="004F3B53" w:rsidP="004F3B53">
      <w:pPr>
        <w:spacing w:after="200"/>
        <w:rPr>
          <w:rFonts w:cs="Times New Roman"/>
          <w:b/>
          <w:szCs w:val="24"/>
          <w:u w:val="single"/>
        </w:rPr>
      </w:pPr>
      <w:r w:rsidRPr="004F3B53">
        <w:rPr>
          <w:rFonts w:cs="Times New Roman"/>
          <w:b/>
          <w:szCs w:val="24"/>
          <w:u w:val="single"/>
        </w:rPr>
        <w:t>Роттердамская конвенция:</w:t>
      </w:r>
    </w:p>
    <w:p w14:paraId="1E1873AD" w14:textId="685998A8" w:rsidR="004F3B53" w:rsidRPr="002D1D7E" w:rsidRDefault="004F3B53" w:rsidP="00FD5FEC">
      <w:pPr>
        <w:pStyle w:val="ac"/>
        <w:numPr>
          <w:ilvl w:val="0"/>
          <w:numId w:val="14"/>
        </w:numPr>
        <w:spacing w:after="200"/>
        <w:rPr>
          <w:rFonts w:cs="Times New Roman"/>
          <w:szCs w:val="24"/>
        </w:rPr>
      </w:pPr>
      <w:r w:rsidRPr="002D1D7E">
        <w:rPr>
          <w:rFonts w:cs="Times New Roman"/>
          <w:szCs w:val="24"/>
        </w:rPr>
        <w:t>Назначение уполномоченного национального орган</w:t>
      </w:r>
      <w:proofErr w:type="gramStart"/>
      <w:r w:rsidRPr="002D1D7E">
        <w:rPr>
          <w:rFonts w:cs="Times New Roman"/>
          <w:szCs w:val="24"/>
        </w:rPr>
        <w:t>а(</w:t>
      </w:r>
      <w:proofErr w:type="gramEnd"/>
      <w:r w:rsidRPr="002D1D7E">
        <w:rPr>
          <w:rFonts w:cs="Times New Roman"/>
          <w:szCs w:val="24"/>
        </w:rPr>
        <w:t>-</w:t>
      </w:r>
      <w:proofErr w:type="spellStart"/>
      <w:r w:rsidRPr="002D1D7E">
        <w:rPr>
          <w:rFonts w:cs="Times New Roman"/>
          <w:szCs w:val="24"/>
        </w:rPr>
        <w:t>ов</w:t>
      </w:r>
      <w:proofErr w:type="spellEnd"/>
      <w:r w:rsidRPr="002D1D7E">
        <w:rPr>
          <w:rFonts w:cs="Times New Roman"/>
          <w:szCs w:val="24"/>
        </w:rPr>
        <w:t>) и официальных контактных лиц (1 балл);</w:t>
      </w:r>
    </w:p>
    <w:p w14:paraId="2B1A7B55" w14:textId="11EC0D4D" w:rsidR="004F3B53" w:rsidRPr="002D1D7E" w:rsidRDefault="004F3B53" w:rsidP="00FD5FEC">
      <w:pPr>
        <w:pStyle w:val="ac"/>
        <w:numPr>
          <w:ilvl w:val="0"/>
          <w:numId w:val="14"/>
        </w:numPr>
        <w:spacing w:after="200"/>
        <w:rPr>
          <w:rFonts w:cs="Times New Roman"/>
          <w:szCs w:val="24"/>
        </w:rPr>
      </w:pPr>
      <w:r w:rsidRPr="002D1D7E">
        <w:rPr>
          <w:rFonts w:cs="Times New Roman"/>
          <w:szCs w:val="24"/>
        </w:rPr>
        <w:t>Представление ответов об импорте за отчетный период (0,2 балла за импортный ответ).</w:t>
      </w:r>
    </w:p>
    <w:p w14:paraId="31FA2A4C" w14:textId="77777777" w:rsidR="004F3B53" w:rsidRPr="004F3B53" w:rsidRDefault="004F3B53" w:rsidP="004F3B53">
      <w:pPr>
        <w:spacing w:after="200"/>
        <w:rPr>
          <w:rFonts w:cs="Times New Roman"/>
          <w:b/>
          <w:szCs w:val="24"/>
          <w:u w:val="single"/>
        </w:rPr>
      </w:pPr>
      <w:r w:rsidRPr="004F3B53">
        <w:rPr>
          <w:rFonts w:cs="Times New Roman"/>
          <w:b/>
          <w:szCs w:val="24"/>
          <w:u w:val="single"/>
        </w:rPr>
        <w:t>Стокгольмская конвенция</w:t>
      </w:r>
    </w:p>
    <w:p w14:paraId="653564D9" w14:textId="78C062B3" w:rsidR="004F3B53" w:rsidRPr="00CA46C2" w:rsidRDefault="004F3B53" w:rsidP="00FD5FEC">
      <w:pPr>
        <w:pStyle w:val="ac"/>
        <w:numPr>
          <w:ilvl w:val="0"/>
          <w:numId w:val="15"/>
        </w:numPr>
        <w:spacing w:after="200"/>
        <w:rPr>
          <w:rFonts w:cs="Times New Roman"/>
          <w:szCs w:val="24"/>
        </w:rPr>
      </w:pPr>
      <w:r w:rsidRPr="00CA46C2">
        <w:rPr>
          <w:rFonts w:cs="Times New Roman"/>
          <w:szCs w:val="24"/>
        </w:rPr>
        <w:t>Назначение официальных контактных лиц по Стокгольмской конвенции и национальных координационных центров (1 балл);</w:t>
      </w:r>
    </w:p>
    <w:p w14:paraId="4C6ABE5C" w14:textId="47867D1A" w:rsidR="004F3B53" w:rsidRPr="00CA46C2" w:rsidRDefault="004F3B53" w:rsidP="00FD5FEC">
      <w:pPr>
        <w:pStyle w:val="ac"/>
        <w:numPr>
          <w:ilvl w:val="0"/>
          <w:numId w:val="15"/>
        </w:numPr>
        <w:spacing w:after="200"/>
        <w:rPr>
          <w:rFonts w:cs="Times New Roman"/>
          <w:szCs w:val="24"/>
        </w:rPr>
      </w:pPr>
      <w:r w:rsidRPr="00CA46C2">
        <w:rPr>
          <w:rFonts w:cs="Times New Roman"/>
          <w:szCs w:val="24"/>
        </w:rPr>
        <w:t>Представление национального плана осуществления (1 балл);</w:t>
      </w:r>
    </w:p>
    <w:p w14:paraId="3615ADFB" w14:textId="40E662B1" w:rsidR="004F3B53" w:rsidRPr="00CA46C2" w:rsidRDefault="004F3B53" w:rsidP="00FD5FEC">
      <w:pPr>
        <w:pStyle w:val="ac"/>
        <w:numPr>
          <w:ilvl w:val="0"/>
          <w:numId w:val="15"/>
        </w:numPr>
        <w:spacing w:after="200"/>
        <w:rPr>
          <w:rFonts w:cs="Times New Roman"/>
          <w:szCs w:val="24"/>
        </w:rPr>
      </w:pPr>
      <w:r w:rsidRPr="00CA46C2">
        <w:rPr>
          <w:rFonts w:cs="Times New Roman"/>
          <w:szCs w:val="24"/>
        </w:rPr>
        <w:t>Представление пере</w:t>
      </w:r>
      <w:r w:rsidR="00CA46C2">
        <w:rPr>
          <w:rFonts w:cs="Times New Roman"/>
          <w:szCs w:val="24"/>
        </w:rPr>
        <w:t>смотренного национального план</w:t>
      </w:r>
      <w:proofErr w:type="gramStart"/>
      <w:r w:rsidR="00CA46C2">
        <w:rPr>
          <w:rFonts w:cs="Times New Roman"/>
          <w:szCs w:val="24"/>
        </w:rPr>
        <w:t>а</w:t>
      </w:r>
      <w:r w:rsidRPr="00CA46C2">
        <w:rPr>
          <w:rFonts w:cs="Times New Roman"/>
          <w:szCs w:val="24"/>
        </w:rPr>
        <w:t>(</w:t>
      </w:r>
      <w:proofErr w:type="gramEnd"/>
      <w:r w:rsidRPr="00CA46C2">
        <w:rPr>
          <w:rFonts w:cs="Times New Roman"/>
          <w:szCs w:val="24"/>
        </w:rPr>
        <w:t>-</w:t>
      </w:r>
      <w:proofErr w:type="spellStart"/>
      <w:r w:rsidRPr="00CA46C2">
        <w:rPr>
          <w:rFonts w:cs="Times New Roman"/>
          <w:szCs w:val="24"/>
        </w:rPr>
        <w:t>ов</w:t>
      </w:r>
      <w:proofErr w:type="spellEnd"/>
      <w:r w:rsidRPr="00CA46C2">
        <w:rPr>
          <w:rFonts w:cs="Times New Roman"/>
          <w:szCs w:val="24"/>
        </w:rPr>
        <w:t>) реализации, касающегося поправок, принятых Конференцией Сторон в течение отчетного периода (1 балл за пересмотренный и обновленный план)</w:t>
      </w:r>
      <w:r w:rsidRPr="004F3B53">
        <w:rPr>
          <w:vertAlign w:val="superscript"/>
        </w:rPr>
        <w:footnoteReference w:id="3"/>
      </w:r>
      <w:r w:rsidRPr="00CA46C2">
        <w:rPr>
          <w:rFonts w:cs="Times New Roman"/>
          <w:szCs w:val="24"/>
        </w:rPr>
        <w:t>;</w:t>
      </w:r>
    </w:p>
    <w:p w14:paraId="78C058DC" w14:textId="77777777" w:rsidR="004F3B53" w:rsidRPr="004F3B53" w:rsidRDefault="004F3B53" w:rsidP="004F3B53">
      <w:pPr>
        <w:spacing w:after="200"/>
        <w:rPr>
          <w:rFonts w:cs="Times New Roman"/>
          <w:b/>
          <w:szCs w:val="24"/>
          <w:u w:val="single"/>
        </w:rPr>
      </w:pPr>
      <w:r w:rsidRPr="004F3B53">
        <w:rPr>
          <w:rFonts w:cs="Times New Roman"/>
          <w:b/>
          <w:szCs w:val="24"/>
          <w:u w:val="single"/>
        </w:rPr>
        <w:t>Монреальский протокол:</w:t>
      </w:r>
    </w:p>
    <w:p w14:paraId="061DF898" w14:textId="4BB64DB9" w:rsidR="004F3B53" w:rsidRPr="008715E9" w:rsidRDefault="004F3B53" w:rsidP="00FD5FEC">
      <w:pPr>
        <w:pStyle w:val="ac"/>
        <w:numPr>
          <w:ilvl w:val="0"/>
          <w:numId w:val="16"/>
        </w:numPr>
        <w:spacing w:after="200"/>
        <w:rPr>
          <w:rFonts w:cs="Times New Roman"/>
          <w:szCs w:val="24"/>
        </w:rPr>
      </w:pPr>
      <w:r w:rsidRPr="008715E9">
        <w:rPr>
          <w:rFonts w:cs="Times New Roman"/>
          <w:szCs w:val="24"/>
        </w:rPr>
        <w:t>Соблюдение требований к отчетности в отношении производства и потребления озоноразрушающих веществ согласно (статье 7) Монреальского протокола (15 баллов);</w:t>
      </w:r>
    </w:p>
    <w:p w14:paraId="46D69EAF" w14:textId="13371F7F" w:rsidR="004F3B53" w:rsidRPr="008715E9" w:rsidRDefault="004F3B53" w:rsidP="00FD5FEC">
      <w:pPr>
        <w:pStyle w:val="ac"/>
        <w:numPr>
          <w:ilvl w:val="0"/>
          <w:numId w:val="16"/>
        </w:numPr>
        <w:spacing w:after="200"/>
        <w:rPr>
          <w:rFonts w:cs="Times New Roman"/>
          <w:szCs w:val="24"/>
        </w:rPr>
      </w:pPr>
      <w:r w:rsidRPr="008715E9">
        <w:rPr>
          <w:rFonts w:cs="Times New Roman"/>
          <w:szCs w:val="24"/>
        </w:rPr>
        <w:t>Представление информации о системах лицензирования согласно (статье 4B) Монреальского протокола (5 баллов).</w:t>
      </w:r>
    </w:p>
    <w:p w14:paraId="329273A5" w14:textId="77777777" w:rsidR="004F3B53" w:rsidRPr="004F3B53" w:rsidRDefault="004F3B53" w:rsidP="004F3B53">
      <w:pPr>
        <w:spacing w:after="200"/>
        <w:rPr>
          <w:rFonts w:cs="Times New Roman"/>
          <w:b/>
          <w:szCs w:val="24"/>
          <w:u w:val="single"/>
        </w:rPr>
      </w:pPr>
      <w:r w:rsidRPr="004F3B53">
        <w:rPr>
          <w:rFonts w:cs="Times New Roman"/>
          <w:b/>
          <w:szCs w:val="24"/>
          <w:u w:val="single"/>
        </w:rPr>
        <w:t>Минаматская конвенция</w:t>
      </w:r>
      <w:r w:rsidRPr="004F3B53">
        <w:rPr>
          <w:rFonts w:cs="Times New Roman"/>
          <w:b/>
          <w:szCs w:val="24"/>
          <w:u w:val="single"/>
          <w:vertAlign w:val="superscript"/>
        </w:rPr>
        <w:footnoteReference w:id="4"/>
      </w:r>
      <w:r w:rsidRPr="004F3B53">
        <w:rPr>
          <w:rFonts w:cs="Times New Roman"/>
          <w:b/>
          <w:szCs w:val="24"/>
          <w:u w:val="single"/>
        </w:rPr>
        <w:t>:</w:t>
      </w:r>
    </w:p>
    <w:p w14:paraId="376B5323" w14:textId="4CE6EE18" w:rsidR="004F3B53" w:rsidRPr="008715E9" w:rsidRDefault="004F3B53" w:rsidP="00FD5FEC">
      <w:pPr>
        <w:pStyle w:val="ac"/>
        <w:numPr>
          <w:ilvl w:val="0"/>
          <w:numId w:val="17"/>
        </w:numPr>
        <w:spacing w:after="200"/>
        <w:rPr>
          <w:rFonts w:cs="Times New Roman"/>
          <w:szCs w:val="24"/>
        </w:rPr>
      </w:pPr>
      <w:r w:rsidRPr="008715E9">
        <w:rPr>
          <w:rFonts w:cs="Times New Roman"/>
          <w:szCs w:val="24"/>
        </w:rPr>
        <w:lastRenderedPageBreak/>
        <w:t>Назначение национального координационного центра (статья 17) (5 баллов);</w:t>
      </w:r>
    </w:p>
    <w:p w14:paraId="0CE50640" w14:textId="500E1953" w:rsidR="004F3B53" w:rsidRPr="008715E9" w:rsidRDefault="004F3B53" w:rsidP="00FD5FEC">
      <w:pPr>
        <w:pStyle w:val="ac"/>
        <w:numPr>
          <w:ilvl w:val="0"/>
          <w:numId w:val="17"/>
        </w:numPr>
        <w:spacing w:after="200"/>
        <w:rPr>
          <w:rFonts w:cs="Times New Roman"/>
          <w:szCs w:val="24"/>
        </w:rPr>
      </w:pPr>
      <w:r w:rsidRPr="008715E9">
        <w:rPr>
          <w:rFonts w:cs="Times New Roman"/>
          <w:szCs w:val="24"/>
        </w:rPr>
        <w:t>Представление национального доклада (статья 21) (15 баллов).</w:t>
      </w:r>
    </w:p>
    <w:p w14:paraId="0B53F612" w14:textId="48F2A0D0" w:rsidR="000F1B14" w:rsidRPr="000F1B14" w:rsidRDefault="000F1B14" w:rsidP="000F1B14">
      <w:pPr>
        <w:pStyle w:val="a0"/>
      </w:pPr>
      <w:r w:rsidRPr="000F1B14">
        <w:t>Заполнив приведенную ниже таблицу, страны могут рассчитать свои страновые баллы по каждой конвенции и общий коэффициент передачи.</w:t>
      </w:r>
    </w:p>
    <w:tbl>
      <w:tblPr>
        <w:tblStyle w:val="ab"/>
        <w:tblW w:w="9392" w:type="dxa"/>
        <w:jc w:val="center"/>
        <w:tblInd w:w="1169" w:type="dxa"/>
        <w:tblLayout w:type="fixed"/>
        <w:tblLook w:val="04A0" w:firstRow="1" w:lastRow="0" w:firstColumn="1" w:lastColumn="0" w:noHBand="0" w:noVBand="1"/>
      </w:tblPr>
      <w:tblGrid>
        <w:gridCol w:w="422"/>
        <w:gridCol w:w="1157"/>
        <w:gridCol w:w="1098"/>
        <w:gridCol w:w="580"/>
        <w:gridCol w:w="567"/>
        <w:gridCol w:w="567"/>
        <w:gridCol w:w="567"/>
        <w:gridCol w:w="567"/>
        <w:gridCol w:w="3867"/>
      </w:tblGrid>
      <w:tr w:rsidR="00BA297F" w:rsidRPr="003A5BF9" w14:paraId="16CD3A8D" w14:textId="77777777" w:rsidTr="00570C78">
        <w:trPr>
          <w:jc w:val="center"/>
        </w:trPr>
        <w:tc>
          <w:tcPr>
            <w:tcW w:w="422" w:type="dxa"/>
            <w:vMerge w:val="restart"/>
          </w:tcPr>
          <w:p w14:paraId="737626B8" w14:textId="77777777" w:rsidR="00BA297F" w:rsidRPr="008715E9" w:rsidRDefault="00BA297F" w:rsidP="00BA29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>#</w:t>
            </w:r>
          </w:p>
        </w:tc>
        <w:tc>
          <w:tcPr>
            <w:tcW w:w="1157" w:type="dxa"/>
            <w:vMerge w:val="restart"/>
          </w:tcPr>
          <w:p w14:paraId="16B846D3" w14:textId="661A250A" w:rsidR="00BA297F" w:rsidRPr="008715E9" w:rsidRDefault="00BA297F" w:rsidP="00BA29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Конвенция</w:t>
            </w:r>
          </w:p>
        </w:tc>
        <w:tc>
          <w:tcPr>
            <w:tcW w:w="1098" w:type="dxa"/>
            <w:vMerge w:val="restart"/>
          </w:tcPr>
          <w:p w14:paraId="3681C85F" w14:textId="1ABB5643" w:rsidR="00BA297F" w:rsidRPr="008715E9" w:rsidRDefault="00BA297F" w:rsidP="00BA29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>Максимальное</w:t>
            </w:r>
            <w:proofErr w:type="spellEnd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>количество</w:t>
            </w:r>
            <w:proofErr w:type="spellEnd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>баллов</w:t>
            </w:r>
            <w:proofErr w:type="spellEnd"/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(MP)</w:t>
            </w:r>
          </w:p>
        </w:tc>
        <w:tc>
          <w:tcPr>
            <w:tcW w:w="2848" w:type="dxa"/>
            <w:gridSpan w:val="5"/>
          </w:tcPr>
          <w:p w14:paraId="2BF0B570" w14:textId="3C587FEC" w:rsidR="00BA297F" w:rsidRPr="008715E9" w:rsidRDefault="00BA297F" w:rsidP="00BA29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8715E9">
              <w:rPr>
                <w:rFonts w:cs="Times New Roman"/>
                <w:b/>
                <w:bCs/>
                <w:sz w:val="20"/>
                <w:szCs w:val="20"/>
              </w:rPr>
              <w:t>Баллы</w:t>
            </w:r>
            <w:r w:rsidRPr="008715E9"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715E9">
              <w:rPr>
                <w:rFonts w:cs="Times New Roman"/>
                <w:b/>
                <w:bCs/>
                <w:sz w:val="20"/>
                <w:szCs w:val="20"/>
              </w:rPr>
              <w:t>за</w:t>
            </w:r>
            <w:r w:rsidRPr="008715E9"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715E9">
              <w:rPr>
                <w:rFonts w:cs="Times New Roman"/>
                <w:b/>
                <w:bCs/>
                <w:sz w:val="20"/>
                <w:szCs w:val="20"/>
              </w:rPr>
              <w:t>год</w:t>
            </w:r>
            <w:r w:rsidRPr="008715E9"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 [p(t) – points (t)]</w:t>
            </w:r>
            <w:r w:rsidRPr="008715E9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*</w:t>
            </w:r>
          </w:p>
        </w:tc>
        <w:tc>
          <w:tcPr>
            <w:tcW w:w="3867" w:type="dxa"/>
            <w:vMerge w:val="restart"/>
          </w:tcPr>
          <w:p w14:paraId="4C6D43C2" w14:textId="36DEBBCF" w:rsidR="00BA297F" w:rsidRPr="008715E9" w:rsidRDefault="00BA297F" w:rsidP="00BA29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b/>
                <w:bCs/>
                <w:sz w:val="20"/>
                <w:szCs w:val="20"/>
              </w:rPr>
              <w:t>Ресу</w:t>
            </w:r>
            <w:proofErr w:type="gramStart"/>
            <w:r w:rsidRPr="008715E9">
              <w:rPr>
                <w:rFonts w:cs="Times New Roman"/>
                <w:b/>
                <w:bCs/>
                <w:sz w:val="20"/>
                <w:szCs w:val="20"/>
              </w:rPr>
              <w:t>рс</w:t>
            </w:r>
            <w:r w:rsidRPr="008715E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15E9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gramEnd"/>
            <w:r w:rsidRPr="008715E9">
              <w:rPr>
                <w:rFonts w:cs="Times New Roman"/>
                <w:b/>
                <w:bCs/>
                <w:sz w:val="20"/>
                <w:szCs w:val="20"/>
              </w:rPr>
              <w:t>аны</w:t>
            </w:r>
            <w:r w:rsidRPr="008715E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(cs – country source)</w:t>
            </w:r>
          </w:p>
        </w:tc>
      </w:tr>
      <w:tr w:rsidR="00570C78" w:rsidRPr="008715E9" w14:paraId="7A8DADCD" w14:textId="77777777" w:rsidTr="00570C78">
        <w:trPr>
          <w:jc w:val="center"/>
        </w:trPr>
        <w:tc>
          <w:tcPr>
            <w:tcW w:w="422" w:type="dxa"/>
            <w:vMerge/>
          </w:tcPr>
          <w:p w14:paraId="5A4BFB3A" w14:textId="77777777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57" w:type="dxa"/>
            <w:vMerge/>
          </w:tcPr>
          <w:p w14:paraId="2FF1CF44" w14:textId="77777777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098" w:type="dxa"/>
            <w:vMerge/>
          </w:tcPr>
          <w:p w14:paraId="6AA92C75" w14:textId="77777777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771B6CA7" w14:textId="1F2FE1DE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1</w:t>
            </w:r>
            <w:proofErr w:type="spellStart"/>
            <w:r w:rsidRPr="008715E9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ый</w:t>
            </w:r>
            <w:proofErr w:type="spellEnd"/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Pr="008715E9">
              <w:rPr>
                <w:rFonts w:eastAsia="Times New Roman" w:cs="Times New Roman"/>
                <w:sz w:val="20"/>
                <w:szCs w:val="20"/>
                <w:lang w:eastAsia="en-GB"/>
              </w:rPr>
              <w:t>год</w:t>
            </w:r>
          </w:p>
        </w:tc>
        <w:tc>
          <w:tcPr>
            <w:tcW w:w="567" w:type="dxa"/>
          </w:tcPr>
          <w:p w14:paraId="72242EF0" w14:textId="0987439C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2</w:t>
            </w:r>
            <w:r w:rsidRPr="008715E9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ой</w:t>
            </w: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Pr="008715E9">
              <w:rPr>
                <w:rFonts w:eastAsia="Times New Roman" w:cs="Times New Roman"/>
                <w:sz w:val="20"/>
                <w:szCs w:val="20"/>
                <w:lang w:eastAsia="en-GB"/>
              </w:rPr>
              <w:t>год</w:t>
            </w:r>
          </w:p>
        </w:tc>
        <w:tc>
          <w:tcPr>
            <w:tcW w:w="567" w:type="dxa"/>
          </w:tcPr>
          <w:p w14:paraId="71299928" w14:textId="4C42AFE5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3</w:t>
            </w:r>
            <w:proofErr w:type="spellStart"/>
            <w:r w:rsidRPr="008715E9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ий</w:t>
            </w:r>
            <w:proofErr w:type="spellEnd"/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Pr="008715E9">
              <w:rPr>
                <w:rFonts w:eastAsia="Times New Roman" w:cs="Times New Roman"/>
                <w:sz w:val="20"/>
                <w:szCs w:val="20"/>
                <w:lang w:eastAsia="en-GB"/>
              </w:rPr>
              <w:t>год</w:t>
            </w:r>
          </w:p>
        </w:tc>
        <w:tc>
          <w:tcPr>
            <w:tcW w:w="567" w:type="dxa"/>
          </w:tcPr>
          <w:p w14:paraId="63E589FE" w14:textId="4CAC35D4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4</w:t>
            </w:r>
            <w:proofErr w:type="spellStart"/>
            <w:r w:rsidRPr="008715E9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ый</w:t>
            </w:r>
            <w:proofErr w:type="spellEnd"/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Pr="008715E9">
              <w:rPr>
                <w:rFonts w:eastAsia="Times New Roman" w:cs="Times New Roman"/>
                <w:sz w:val="20"/>
                <w:szCs w:val="20"/>
                <w:lang w:eastAsia="en-GB"/>
              </w:rPr>
              <w:t>год</w:t>
            </w:r>
          </w:p>
        </w:tc>
        <w:tc>
          <w:tcPr>
            <w:tcW w:w="567" w:type="dxa"/>
          </w:tcPr>
          <w:p w14:paraId="77EBB5DA" w14:textId="06BE1B74" w:rsidR="0045312F" w:rsidRPr="008715E9" w:rsidRDefault="0045312F" w:rsidP="004B73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5</w:t>
            </w:r>
            <w:proofErr w:type="spellStart"/>
            <w:r w:rsidRPr="008715E9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ый</w:t>
            </w:r>
            <w:proofErr w:type="spellEnd"/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Pr="008715E9">
              <w:rPr>
                <w:rFonts w:eastAsia="Times New Roman" w:cs="Times New Roman"/>
                <w:sz w:val="20"/>
                <w:szCs w:val="20"/>
                <w:lang w:eastAsia="en-GB"/>
              </w:rPr>
              <w:t>год</w:t>
            </w:r>
          </w:p>
        </w:tc>
        <w:tc>
          <w:tcPr>
            <w:tcW w:w="3867" w:type="dxa"/>
            <w:vMerge/>
          </w:tcPr>
          <w:p w14:paraId="28AC7192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570C78" w:rsidRPr="008715E9" w14:paraId="2109A695" w14:textId="77777777" w:rsidTr="00570C78">
        <w:trPr>
          <w:jc w:val="center"/>
        </w:trPr>
        <w:tc>
          <w:tcPr>
            <w:tcW w:w="422" w:type="dxa"/>
          </w:tcPr>
          <w:p w14:paraId="2851816B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A</w:t>
            </w:r>
          </w:p>
        </w:tc>
        <w:tc>
          <w:tcPr>
            <w:tcW w:w="1157" w:type="dxa"/>
          </w:tcPr>
          <w:p w14:paraId="59DEA7BB" w14:textId="2BAEA405" w:rsidR="0045312F" w:rsidRPr="008715E9" w:rsidRDefault="00882128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sz w:val="20"/>
                <w:szCs w:val="20"/>
              </w:rPr>
              <w:t>Базельская конвенция</w:t>
            </w:r>
          </w:p>
        </w:tc>
        <w:tc>
          <w:tcPr>
            <w:tcW w:w="1098" w:type="dxa"/>
          </w:tcPr>
          <w:p w14:paraId="4DD5A42C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180813C3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08EAE946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703D635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293D7670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5F56F98" w14:textId="77777777" w:rsidR="0045312F" w:rsidRPr="008715E9" w:rsidRDefault="0045312F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867" w:type="dxa"/>
          </w:tcPr>
          <w:p w14:paraId="23C6E9F2" w14:textId="77777777" w:rsidR="0045312F" w:rsidRPr="008715E9" w:rsidRDefault="003A5BF9" w:rsidP="004B738E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CS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t3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t4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+p(t5)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MP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</w:tr>
      <w:tr w:rsidR="00570C78" w:rsidRPr="008715E9" w14:paraId="33AEA4B0" w14:textId="77777777" w:rsidTr="00570C78">
        <w:trPr>
          <w:jc w:val="center"/>
        </w:trPr>
        <w:tc>
          <w:tcPr>
            <w:tcW w:w="422" w:type="dxa"/>
          </w:tcPr>
          <w:p w14:paraId="0A48686A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1157" w:type="dxa"/>
          </w:tcPr>
          <w:p w14:paraId="16DA6C86" w14:textId="36F4AD32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sz w:val="20"/>
                <w:szCs w:val="20"/>
              </w:rPr>
              <w:t>Роттердамская конвенция</w:t>
            </w:r>
          </w:p>
        </w:tc>
        <w:tc>
          <w:tcPr>
            <w:tcW w:w="1098" w:type="dxa"/>
          </w:tcPr>
          <w:p w14:paraId="54820521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1B0BA286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2866B8DC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07CEA305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1D50BB27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D2893D2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867" w:type="dxa"/>
          </w:tcPr>
          <w:p w14:paraId="58BBB229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…</w:t>
            </w:r>
          </w:p>
        </w:tc>
      </w:tr>
      <w:tr w:rsidR="00570C78" w:rsidRPr="008715E9" w14:paraId="70A27085" w14:textId="77777777" w:rsidTr="00570C78">
        <w:trPr>
          <w:jc w:val="center"/>
        </w:trPr>
        <w:tc>
          <w:tcPr>
            <w:tcW w:w="422" w:type="dxa"/>
          </w:tcPr>
          <w:p w14:paraId="4DF0CCF4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C</w:t>
            </w:r>
          </w:p>
        </w:tc>
        <w:tc>
          <w:tcPr>
            <w:tcW w:w="1157" w:type="dxa"/>
          </w:tcPr>
          <w:p w14:paraId="29F37E64" w14:textId="065466D6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sz w:val="20"/>
                <w:szCs w:val="20"/>
              </w:rPr>
              <w:t>Стокгольмская конвенция</w:t>
            </w:r>
          </w:p>
        </w:tc>
        <w:tc>
          <w:tcPr>
            <w:tcW w:w="1098" w:type="dxa"/>
          </w:tcPr>
          <w:p w14:paraId="7D447C52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47624642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202E1E2E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24489A23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104DF8E0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1A5159C8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867" w:type="dxa"/>
          </w:tcPr>
          <w:p w14:paraId="3DEE0E2C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…</w:t>
            </w:r>
          </w:p>
        </w:tc>
      </w:tr>
      <w:tr w:rsidR="00570C78" w:rsidRPr="008715E9" w14:paraId="3B10C85D" w14:textId="77777777" w:rsidTr="00570C78">
        <w:trPr>
          <w:jc w:val="center"/>
        </w:trPr>
        <w:tc>
          <w:tcPr>
            <w:tcW w:w="422" w:type="dxa"/>
          </w:tcPr>
          <w:p w14:paraId="22C3838C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D</w:t>
            </w:r>
          </w:p>
        </w:tc>
        <w:tc>
          <w:tcPr>
            <w:tcW w:w="1157" w:type="dxa"/>
          </w:tcPr>
          <w:p w14:paraId="419A549F" w14:textId="644636A2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sz w:val="20"/>
                <w:szCs w:val="20"/>
              </w:rPr>
              <w:t>Монреальский протокол</w:t>
            </w:r>
          </w:p>
        </w:tc>
        <w:tc>
          <w:tcPr>
            <w:tcW w:w="1098" w:type="dxa"/>
          </w:tcPr>
          <w:p w14:paraId="58AD2B88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066BDD19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730DAFA4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6F18232E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0C0A9E9D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0E73AD1A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867" w:type="dxa"/>
          </w:tcPr>
          <w:p w14:paraId="06C47D8A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>…</w:t>
            </w:r>
          </w:p>
        </w:tc>
      </w:tr>
      <w:tr w:rsidR="00570C78" w:rsidRPr="008715E9" w14:paraId="3F740AA3" w14:textId="77777777" w:rsidTr="00570C78">
        <w:trPr>
          <w:jc w:val="center"/>
        </w:trPr>
        <w:tc>
          <w:tcPr>
            <w:tcW w:w="422" w:type="dxa"/>
          </w:tcPr>
          <w:p w14:paraId="0DE3583A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E </w:t>
            </w:r>
          </w:p>
        </w:tc>
        <w:tc>
          <w:tcPr>
            <w:tcW w:w="1157" w:type="dxa"/>
          </w:tcPr>
          <w:p w14:paraId="65BC64A3" w14:textId="005E9E8F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r w:rsidRPr="008715E9">
              <w:rPr>
                <w:rFonts w:cs="Times New Roman"/>
                <w:sz w:val="20"/>
                <w:szCs w:val="20"/>
              </w:rPr>
              <w:t>Минаматская конвенция</w:t>
            </w:r>
          </w:p>
        </w:tc>
        <w:tc>
          <w:tcPr>
            <w:tcW w:w="1098" w:type="dxa"/>
          </w:tcPr>
          <w:p w14:paraId="076DAA91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80" w:type="dxa"/>
          </w:tcPr>
          <w:p w14:paraId="15353EFE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6BE403C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BB30CD9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5F00AC82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</w:tcPr>
          <w:p w14:paraId="37E6E29A" w14:textId="77777777" w:rsidR="00882128" w:rsidRPr="008715E9" w:rsidRDefault="00882128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867" w:type="dxa"/>
          </w:tcPr>
          <w:p w14:paraId="2F8FEC96" w14:textId="77777777" w:rsidR="00882128" w:rsidRPr="008715E9" w:rsidRDefault="003A5BF9" w:rsidP="00882128">
            <w:pPr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CS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t3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t4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en-GB"/>
                      </w:rPr>
                      <m:t>+p(t5)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MP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en-GB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791FBEDD" w14:textId="00AD8124" w:rsidR="0045312F" w:rsidRDefault="0045312F" w:rsidP="004F3B53">
      <w:pPr>
        <w:spacing w:after="200"/>
        <w:rPr>
          <w:rFonts w:cs="Times New Roman"/>
          <w:szCs w:val="24"/>
        </w:rPr>
      </w:pPr>
      <w:r w:rsidRPr="0045312F">
        <w:rPr>
          <w:rFonts w:cs="Times New Roman"/>
          <w:szCs w:val="24"/>
        </w:rPr>
        <w:t>* Баллы, начисленные единожды (например, за назначение национального координационного центра), суммируются в течение первого года.</w:t>
      </w:r>
    </w:p>
    <w:p w14:paraId="436BEA31" w14:textId="5DB644EE" w:rsidR="0055472B" w:rsidRPr="00F14A3A" w:rsidRDefault="0055472B" w:rsidP="0055472B">
      <w:pPr>
        <w:pStyle w:val="a0"/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Коэффициент передачи информации</m:t>
          </m:r>
          <m:r>
            <w:rPr>
              <w:rFonts w:ascii="Cambria Math" w:eastAsia="Times New Roman" w:hAnsi="Cambria Math" w:cs="Times New Roman"/>
              <w:szCs w:val="24"/>
              <w:lang w:eastAsia="en-GB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  <w:lang w:val="en-US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CS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en-GB"/>
                    </w:rPr>
                    <m:t>E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Число конвенций</m:t>
              </m:r>
            </m:den>
          </m:f>
          <m:r>
            <w:rPr>
              <w:rFonts w:ascii="Cambria Math" w:eastAsia="Times New Roman" w:hAnsi="Cambria Math" w:cs="Times New Roman"/>
              <w:szCs w:val="24"/>
              <w:lang w:eastAsia="en-GB"/>
            </w:rPr>
            <m:t xml:space="preserve"> ×100%</m:t>
          </m:r>
        </m:oMath>
      </m:oMathPara>
    </w:p>
    <w:p w14:paraId="6FEAAFD6" w14:textId="5F33A759" w:rsidR="004F3B53" w:rsidRPr="004F3B53" w:rsidRDefault="004F3B53" w:rsidP="004F3B53">
      <w:pPr>
        <w:spacing w:after="200"/>
        <w:rPr>
          <w:rFonts w:cs="Times New Roman"/>
          <w:szCs w:val="24"/>
        </w:rPr>
      </w:pPr>
      <w:r w:rsidRPr="004F3B53">
        <w:rPr>
          <w:rFonts w:cs="Times New Roman"/>
          <w:szCs w:val="24"/>
        </w:rPr>
        <w:t xml:space="preserve">Итоговый показатель представляет значение, выраженное в процентах, где 100% является максимальной степенью соответствия обязательствам по представлению отчетности </w:t>
      </w:r>
      <w:r w:rsidR="004A1820">
        <w:t>MEA,</w:t>
      </w:r>
      <w:r w:rsidRPr="004F3B53">
        <w:rPr>
          <w:rFonts w:cs="Times New Roman"/>
          <w:szCs w:val="24"/>
        </w:rPr>
        <w:t xml:space="preserve"> участником которых является страна, и 0% </w:t>
      </w:r>
      <w:r w:rsidR="00445D1C" w:rsidRPr="00445D1C">
        <w:rPr>
          <w:rFonts w:cs="Times New Roman"/>
          <w:szCs w:val="24"/>
        </w:rPr>
        <w:t xml:space="preserve">– </w:t>
      </w:r>
      <w:r w:rsidRPr="004F3B53">
        <w:rPr>
          <w:rFonts w:cs="Times New Roman"/>
          <w:szCs w:val="24"/>
        </w:rPr>
        <w:t>наименьшей степени соблюдения этих обязательств.</w:t>
      </w:r>
    </w:p>
    <w:p w14:paraId="1968907E" w14:textId="77777777"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14:paraId="5B7BED0A" w14:textId="77777777" w:rsidR="0092659A" w:rsidRPr="0092659A" w:rsidRDefault="0092659A" w:rsidP="0092659A">
      <w:r w:rsidRPr="0092659A">
        <w:t xml:space="preserve">Вся указанная ниже информация о </w:t>
      </w:r>
      <w:r w:rsidRPr="00E71615">
        <w:rPr>
          <w:b/>
        </w:rPr>
        <w:t>Базельской, Роттердамской и Стокгольмской конвенциях</w:t>
      </w:r>
      <w:r w:rsidRPr="0092659A">
        <w:t xml:space="preserve"> предоставляется через официальных контактных лиц страны.</w:t>
      </w:r>
    </w:p>
    <w:p w14:paraId="3C418C79" w14:textId="63B31C37" w:rsidR="0092659A" w:rsidRPr="0092659A" w:rsidRDefault="0092659A" w:rsidP="00FD5FEC">
      <w:pPr>
        <w:pStyle w:val="ac"/>
        <w:numPr>
          <w:ilvl w:val="0"/>
          <w:numId w:val="18"/>
        </w:numPr>
      </w:pPr>
      <w:r w:rsidRPr="0092659A">
        <w:t xml:space="preserve">Базы данных страновых контрактов Базельской, Роттердамской и Стокгольмской конвенций: </w:t>
      </w:r>
      <w:hyperlink r:id="rId14" w:history="1">
        <w:r w:rsidR="00E83B07" w:rsidRPr="005D00BE">
          <w:rPr>
            <w:rStyle w:val="ad"/>
          </w:rPr>
          <w:t>http://www.basel.int/Countries/CountryContacts/tabid/1342/Default.aspx</w:t>
        </w:r>
      </w:hyperlink>
    </w:p>
    <w:p w14:paraId="39B6D0C1" w14:textId="0A46C2D0" w:rsidR="0092659A" w:rsidRPr="0092659A" w:rsidRDefault="003A5BF9" w:rsidP="00FD5FEC">
      <w:pPr>
        <w:pStyle w:val="ac"/>
        <w:numPr>
          <w:ilvl w:val="0"/>
          <w:numId w:val="18"/>
        </w:numPr>
      </w:pPr>
      <w:hyperlink r:id="rId15" w:history="1">
        <w:r w:rsidR="00E83B07" w:rsidRPr="005D00BE">
          <w:rPr>
            <w:rStyle w:val="ad"/>
          </w:rPr>
          <w:t>http://www.pic.int/Countries/CountryContacts/tabid/3282/language/en-US/Default.aspx</w:t>
        </w:r>
      </w:hyperlink>
    </w:p>
    <w:p w14:paraId="35734AF0" w14:textId="57AC48ED" w:rsidR="0092659A" w:rsidRPr="0092659A" w:rsidRDefault="003A5BF9" w:rsidP="00FD5FEC">
      <w:pPr>
        <w:pStyle w:val="ac"/>
        <w:numPr>
          <w:ilvl w:val="0"/>
          <w:numId w:val="18"/>
        </w:numPr>
      </w:pPr>
      <w:hyperlink r:id="rId16" w:history="1">
        <w:r w:rsidR="00E83B07" w:rsidRPr="005D00BE">
          <w:rPr>
            <w:rStyle w:val="ad"/>
          </w:rPr>
          <w:t>http://chm.pops.int/Countries/CountryContacts/tabid/304/Default.aspx</w:t>
        </w:r>
      </w:hyperlink>
    </w:p>
    <w:p w14:paraId="230EB653" w14:textId="6B6471B8" w:rsidR="0092659A" w:rsidRPr="0092659A" w:rsidRDefault="0092659A" w:rsidP="00FD5FEC">
      <w:pPr>
        <w:pStyle w:val="ac"/>
        <w:numPr>
          <w:ilvl w:val="0"/>
          <w:numId w:val="18"/>
        </w:numPr>
      </w:pPr>
      <w:r w:rsidRPr="0092659A">
        <w:t xml:space="preserve">Национальные годовые отчеты в соответствии с Базельской конвенцией: </w:t>
      </w:r>
      <w:hyperlink r:id="rId17" w:history="1">
        <w:r w:rsidR="00E83B07" w:rsidRPr="005D00BE">
          <w:rPr>
            <w:rStyle w:val="ad"/>
          </w:rPr>
          <w:t>http://www.basel.int/Countries/NationalReporting/NationalReports/BC2018Reports/tabid/8202/Default.aspx</w:t>
        </w:r>
      </w:hyperlink>
    </w:p>
    <w:p w14:paraId="06755F87" w14:textId="5FF3A3D5" w:rsidR="0092659A" w:rsidRPr="0092659A" w:rsidRDefault="0092659A" w:rsidP="00FD5FEC">
      <w:pPr>
        <w:pStyle w:val="ac"/>
        <w:numPr>
          <w:ilvl w:val="0"/>
          <w:numId w:val="18"/>
        </w:numPr>
      </w:pPr>
      <w:r w:rsidRPr="0092659A">
        <w:lastRenderedPageBreak/>
        <w:t xml:space="preserve">Циркуляр </w:t>
      </w:r>
      <w:r w:rsidR="00E83B07" w:rsidRPr="00E83B07">
        <w:t>процедуры предварительного обоснованного согласия</w:t>
      </w:r>
      <w:r w:rsidRPr="0092659A">
        <w:t xml:space="preserve">, содержащий ответы об импорте в соответствии с Роттердамской конвенцией, который обновляется каждые шесть месяцев: </w:t>
      </w:r>
      <w:hyperlink r:id="rId18" w:history="1">
        <w:r w:rsidR="00E83B07" w:rsidRPr="005D00BE">
          <w:rPr>
            <w:rStyle w:val="ad"/>
          </w:rPr>
          <w:t>http://www.pic.int/Implementation/PICCircular/tabid/1168/language/en-US/Default.aspx</w:t>
        </w:r>
        <w:proofErr w:type="gramStart"/>
      </w:hyperlink>
      <w:r w:rsidR="00E83B07">
        <w:t xml:space="preserve"> </w:t>
      </w:r>
      <w:r w:rsidRPr="0092659A">
        <w:t>С</w:t>
      </w:r>
      <w:proofErr w:type="gramEnd"/>
      <w:r w:rsidRPr="0092659A">
        <w:t xml:space="preserve">м. </w:t>
      </w:r>
      <w:r w:rsidR="00E83B07">
        <w:t xml:space="preserve">также </w:t>
      </w:r>
      <w:hyperlink r:id="rId19" w:history="1">
        <w:r w:rsidR="00E83B07">
          <w:rPr>
            <w:rStyle w:val="ad"/>
          </w:rPr>
          <w:t>веб-страницу</w:t>
        </w:r>
      </w:hyperlink>
      <w:r w:rsidR="00E83B07">
        <w:t xml:space="preserve"> </w:t>
      </w:r>
      <w:r w:rsidR="00E83B07" w:rsidRPr="00E83B07">
        <w:t>с профилями стран, которая содержит различную соответствующую информацию.</w:t>
      </w:r>
    </w:p>
    <w:p w14:paraId="5FDE7B8F" w14:textId="0ECD0C7B" w:rsidR="0092659A" w:rsidRPr="0092659A" w:rsidRDefault="0092659A" w:rsidP="00FD5FEC">
      <w:pPr>
        <w:pStyle w:val="ac"/>
        <w:numPr>
          <w:ilvl w:val="0"/>
          <w:numId w:val="18"/>
        </w:numPr>
      </w:pPr>
      <w:r w:rsidRPr="0092659A">
        <w:t xml:space="preserve">Национальные отчеты в соответствии со Стокгольмской конвенцией: </w:t>
      </w:r>
      <w:hyperlink r:id="rId20" w:history="1">
        <w:r w:rsidR="00CF4649" w:rsidRPr="005D00BE">
          <w:rPr>
            <w:rStyle w:val="ad"/>
          </w:rPr>
          <w:t>http://chm.pops.int/Countries/Reporting/NationalReports/tabid/3668/Default.aspx</w:t>
        </w:r>
      </w:hyperlink>
      <w:r w:rsidR="00CF4649">
        <w:t xml:space="preserve"> </w:t>
      </w:r>
    </w:p>
    <w:p w14:paraId="7536FBA8" w14:textId="7BCDD86E" w:rsidR="0092659A" w:rsidRPr="0092659A" w:rsidRDefault="0092659A" w:rsidP="00FD5FEC">
      <w:pPr>
        <w:pStyle w:val="ac"/>
        <w:numPr>
          <w:ilvl w:val="0"/>
          <w:numId w:val="18"/>
        </w:numPr>
      </w:pPr>
      <w:r w:rsidRPr="0092659A">
        <w:t xml:space="preserve">Передача национальных планов выполнения согласно Стокгольмской конвенции: </w:t>
      </w:r>
      <w:hyperlink r:id="rId21" w:history="1">
        <w:r w:rsidR="00CF4649" w:rsidRPr="005D00BE">
          <w:rPr>
            <w:rStyle w:val="ad"/>
          </w:rPr>
          <w:t>http://chm.pops.int/Implementation/NationalImplementationPlans/NIPTransmission/tabid/253/Default.aspx</w:t>
        </w:r>
      </w:hyperlink>
    </w:p>
    <w:p w14:paraId="102217A6" w14:textId="77777777" w:rsidR="00CF4649" w:rsidRDefault="00CF4649" w:rsidP="0092659A">
      <w:r>
        <w:t xml:space="preserve">Для </w:t>
      </w:r>
      <w:r w:rsidRPr="00CF4649">
        <w:rPr>
          <w:b/>
        </w:rPr>
        <w:t>Минаматской конвенции:</w:t>
      </w:r>
    </w:p>
    <w:p w14:paraId="6735B455" w14:textId="15769FFF" w:rsidR="00154807" w:rsidRDefault="00391BC8" w:rsidP="00FD5FEC">
      <w:pPr>
        <w:pStyle w:val="ac"/>
        <w:numPr>
          <w:ilvl w:val="0"/>
          <w:numId w:val="19"/>
        </w:numPr>
      </w:pPr>
      <w:r>
        <w:t>С</w:t>
      </w:r>
      <w:r w:rsidR="0092659A" w:rsidRPr="0092659A">
        <w:t>писок назначенных национа</w:t>
      </w:r>
      <w:r w:rsidR="00CF4649">
        <w:t xml:space="preserve">льных координаторов доступен по адресу </w:t>
      </w:r>
      <w:hyperlink r:id="rId22" w:history="1">
        <w:r w:rsidRPr="005D00BE">
          <w:rPr>
            <w:rStyle w:val="ad"/>
          </w:rPr>
          <w:t>https://www.mercuryconvention.org/Countries/Parties/Notifications/tabid/3826/language/en-US/Default.aspx</w:t>
        </w:r>
      </w:hyperlink>
      <w:r>
        <w:t xml:space="preserve"> </w:t>
      </w:r>
    </w:p>
    <w:p w14:paraId="59614CA6" w14:textId="3C0FD8B3" w:rsidR="0092659A" w:rsidRPr="0092659A" w:rsidRDefault="0092659A" w:rsidP="00FD5FEC">
      <w:pPr>
        <w:pStyle w:val="ac"/>
        <w:numPr>
          <w:ilvl w:val="0"/>
          <w:numId w:val="19"/>
        </w:numPr>
      </w:pPr>
      <w:r w:rsidRPr="0092659A">
        <w:t xml:space="preserve">Национальные отчеты, представленные Сторонами Минаматской конвенции для первого цикла отчетности, доступны по адресу </w:t>
      </w:r>
      <w:hyperlink r:id="rId23" w:history="1">
        <w:r w:rsidR="00391BC8" w:rsidRPr="005D00BE">
          <w:rPr>
            <w:rStyle w:val="ad"/>
          </w:rPr>
          <w:t>https://www.mercuryconvention.org/en/parties/reporting/2019</w:t>
        </w:r>
      </w:hyperlink>
      <w:r w:rsidR="00391BC8">
        <w:t xml:space="preserve"> </w:t>
      </w:r>
    </w:p>
    <w:p w14:paraId="04C65673" w14:textId="77777777" w:rsidR="0092659A" w:rsidRPr="0092659A" w:rsidRDefault="0092659A" w:rsidP="0092659A">
      <w:r w:rsidRPr="0092659A">
        <w:t xml:space="preserve">В соответствии с </w:t>
      </w:r>
      <w:r w:rsidRPr="008F785F">
        <w:rPr>
          <w:b/>
        </w:rPr>
        <w:t>Монреальским протоколом</w:t>
      </w:r>
      <w:r w:rsidRPr="0092659A">
        <w:t xml:space="preserve"> Секретариат не выполняет никаких проверок, кроме простых проверок полноты и непротиворечивости, о которых сообщается отчитывающейся стороне. Консультации со странами по национальным данным, передаваемым в базу данных показателей ЦУР, не проводятся.</w:t>
      </w:r>
    </w:p>
    <w:p w14:paraId="47EF1A99" w14:textId="77777777" w:rsidR="002E15F9" w:rsidRDefault="002E15F9" w:rsidP="0092659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27A7A91A" w14:textId="3A4703D1" w:rsidR="00A068C3" w:rsidRDefault="00A068C3" w:rsidP="00A343D5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Корректировок нет.</w:t>
      </w:r>
    </w:p>
    <w:p w14:paraId="2B0A1323" w14:textId="3854C8C9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3C8CE362" w14:textId="6ACC5097" w:rsidR="0092659A" w:rsidRPr="006307AE" w:rsidRDefault="0092659A" w:rsidP="006307AE">
      <w:pPr>
        <w:pStyle w:val="ac"/>
        <w:numPr>
          <w:ilvl w:val="0"/>
          <w:numId w:val="24"/>
        </w:numPr>
        <w:spacing w:after="200"/>
        <w:jc w:val="left"/>
        <w:rPr>
          <w:rFonts w:cs="Times New Roman"/>
          <w:i/>
        </w:rPr>
      </w:pPr>
      <w:r w:rsidRPr="006307AE">
        <w:rPr>
          <w:rFonts w:cs="Times New Roman"/>
          <w:i/>
        </w:rPr>
        <w:t>На страновом уровне</w:t>
      </w:r>
      <w:r w:rsidR="00803783">
        <w:rPr>
          <w:rFonts w:cs="Times New Roman"/>
          <w:i/>
        </w:rPr>
        <w:t>:</w:t>
      </w:r>
    </w:p>
    <w:p w14:paraId="03FBECE3" w14:textId="77777777" w:rsidR="0092659A" w:rsidRPr="0092659A" w:rsidRDefault="0092659A" w:rsidP="0092659A">
      <w:pPr>
        <w:spacing w:after="200"/>
        <w:jc w:val="left"/>
        <w:rPr>
          <w:rFonts w:cs="Times New Roman"/>
        </w:rPr>
      </w:pPr>
      <w:r w:rsidRPr="0092659A">
        <w:rPr>
          <w:rFonts w:cs="Times New Roman"/>
        </w:rPr>
        <w:t>Отсутствующие значения не вменены.</w:t>
      </w:r>
    </w:p>
    <w:p w14:paraId="72BB8279" w14:textId="3B3C8F57" w:rsidR="0092659A" w:rsidRPr="006307AE" w:rsidRDefault="0092659A" w:rsidP="006307AE">
      <w:pPr>
        <w:pStyle w:val="ac"/>
        <w:numPr>
          <w:ilvl w:val="0"/>
          <w:numId w:val="24"/>
        </w:numPr>
        <w:spacing w:after="200"/>
        <w:jc w:val="left"/>
        <w:rPr>
          <w:rFonts w:cs="Times New Roman"/>
          <w:i/>
        </w:rPr>
      </w:pPr>
      <w:r w:rsidRPr="006307AE">
        <w:rPr>
          <w:rFonts w:cs="Times New Roman"/>
          <w:i/>
        </w:rPr>
        <w:t>На региональном и глобальном уровнях</w:t>
      </w:r>
      <w:r w:rsidR="00803783">
        <w:rPr>
          <w:rFonts w:cs="Times New Roman"/>
          <w:i/>
        </w:rPr>
        <w:t>:</w:t>
      </w:r>
    </w:p>
    <w:p w14:paraId="1E895D23" w14:textId="77777777" w:rsidR="0092659A" w:rsidRPr="0092659A" w:rsidRDefault="0092659A" w:rsidP="0092659A">
      <w:pPr>
        <w:spacing w:after="200"/>
        <w:jc w:val="left"/>
        <w:rPr>
          <w:rFonts w:cs="Times New Roman"/>
        </w:rPr>
      </w:pPr>
      <w:r w:rsidRPr="0092659A">
        <w:rPr>
          <w:rFonts w:cs="Times New Roman"/>
        </w:rPr>
        <w:t>Отсутствующие значения не вменены.</w:t>
      </w:r>
    </w:p>
    <w:p w14:paraId="16C6C0E3" w14:textId="77777777"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61E28EA4" w14:textId="77777777" w:rsidR="0092659A" w:rsidRDefault="0092659A" w:rsidP="0092659A">
      <w:r>
        <w:t>Данные будут агрегированы на субрегиональном, региональном и глобальном уровнях. Для получения информации о методах агрегирования см.:</w:t>
      </w:r>
    </w:p>
    <w:p w14:paraId="4B872309" w14:textId="77777777" w:rsidR="0092659A" w:rsidRDefault="003A5BF9" w:rsidP="0092659A">
      <w:hyperlink r:id="rId24" w:history="1">
        <w:r w:rsidR="0092659A" w:rsidRPr="00B27DCF">
          <w:rPr>
            <w:rStyle w:val="ad"/>
          </w:rPr>
          <w:t>http://wesr.unep.org/media/docs/graphs/aggregation_methods.pdf</w:t>
        </w:r>
      </w:hyperlink>
      <w:r w:rsidR="0092659A">
        <w:t>.</w:t>
      </w:r>
    </w:p>
    <w:p w14:paraId="1A57FAF8" w14:textId="77777777" w:rsidR="00F56853" w:rsidRPr="00436030" w:rsidRDefault="002E15F9" w:rsidP="0092659A">
      <w:r w:rsidRPr="00A343D5">
        <w:rPr>
          <w:szCs w:val="24"/>
        </w:rPr>
        <w:t xml:space="preserve">4.h. </w:t>
      </w:r>
      <w:r w:rsidR="00E27922" w:rsidRPr="00A343D5">
        <w:rPr>
          <w:b/>
          <w:szCs w:val="24"/>
        </w:rPr>
        <w:t>Доступные странам методы для сбора данных на национальном уровне</w:t>
      </w:r>
    </w:p>
    <w:p w14:paraId="33F12BC5" w14:textId="2EA8006F" w:rsidR="0092659A" w:rsidRDefault="0092659A" w:rsidP="0092659A">
      <w:r w:rsidRPr="00FE58DD">
        <w:rPr>
          <w:b/>
        </w:rPr>
        <w:t>Для Базельской конвенции</w:t>
      </w:r>
      <w:r w:rsidR="00FE58DD">
        <w:rPr>
          <w:b/>
        </w:rPr>
        <w:t>:</w:t>
      </w:r>
      <w:r>
        <w:t xml:space="preserve"> информация о мандате, частоте, формате и процедурах назначения </w:t>
      </w:r>
      <w:hyperlink r:id="rId25" w:history="1">
        <w:r w:rsidR="0054080F">
          <w:rPr>
            <w:rStyle w:val="ad"/>
          </w:rPr>
          <w:t>координационных центров</w:t>
        </w:r>
      </w:hyperlink>
      <w:r w:rsidR="0054080F">
        <w:t xml:space="preserve"> </w:t>
      </w:r>
      <w:r>
        <w:t>и</w:t>
      </w:r>
      <w:r w:rsidR="0054080F">
        <w:t xml:space="preserve"> </w:t>
      </w:r>
      <w:hyperlink r:id="rId26" w:history="1">
        <w:r w:rsidR="0054080F">
          <w:rPr>
            <w:rStyle w:val="ad"/>
          </w:rPr>
          <w:t>компетентных органов</w:t>
        </w:r>
      </w:hyperlink>
      <w:r w:rsidR="0054080F">
        <w:t xml:space="preserve">, а также </w:t>
      </w:r>
      <w:hyperlink r:id="rId27" w:history="1">
        <w:r w:rsidR="00D0507C">
          <w:rPr>
            <w:rStyle w:val="ad"/>
          </w:rPr>
          <w:t>формат и руководство по национальной отчетности за 2018 год и далее</w:t>
        </w:r>
      </w:hyperlink>
      <w:r w:rsidR="00FE58DD">
        <w:t xml:space="preserve"> </w:t>
      </w:r>
    </w:p>
    <w:p w14:paraId="4A6887BC" w14:textId="0168CB29" w:rsidR="0092659A" w:rsidRDefault="0092659A" w:rsidP="0092659A">
      <w:r w:rsidRPr="0054080F">
        <w:rPr>
          <w:b/>
        </w:rPr>
        <w:lastRenderedPageBreak/>
        <w:t>Для Роттердамской конвенции</w:t>
      </w:r>
      <w:r w:rsidR="0054080F" w:rsidRPr="0054080F">
        <w:rPr>
          <w:b/>
        </w:rPr>
        <w:t>:</w:t>
      </w:r>
      <w:r w:rsidR="00C577EF">
        <w:t xml:space="preserve"> информация о мандате</w:t>
      </w:r>
      <w:r>
        <w:t>, частоте, формате и процедурах назнач</w:t>
      </w:r>
      <w:r w:rsidR="00C577EF">
        <w:t xml:space="preserve">ения </w:t>
      </w:r>
      <w:hyperlink r:id="rId28" w:history="1">
        <w:r w:rsidR="00C577EF">
          <w:rPr>
            <w:rStyle w:val="ad"/>
          </w:rPr>
          <w:t>официальных контактных лиц</w:t>
        </w:r>
      </w:hyperlink>
      <w:r w:rsidR="00C577EF">
        <w:t xml:space="preserve">, </w:t>
      </w:r>
      <w:hyperlink r:id="rId29" w:history="1">
        <w:r w:rsidR="00C577EF">
          <w:rPr>
            <w:rStyle w:val="ad"/>
          </w:rPr>
          <w:t>национальных органов</w:t>
        </w:r>
      </w:hyperlink>
      <w:r w:rsidR="00C577EF">
        <w:t>, а</w:t>
      </w:r>
      <w:r w:rsidR="007F7F50">
        <w:t xml:space="preserve"> также </w:t>
      </w:r>
      <w:hyperlink r:id="rId30" w:history="1">
        <w:r w:rsidR="007B5501">
          <w:rPr>
            <w:rStyle w:val="ad"/>
          </w:rPr>
          <w:t>формы и инструкции для Сторон по ответам об импорте</w:t>
        </w:r>
      </w:hyperlink>
      <w:r w:rsidR="00280F4B">
        <w:t>.</w:t>
      </w:r>
    </w:p>
    <w:p w14:paraId="183FD646" w14:textId="77777777" w:rsidR="00287B43" w:rsidRDefault="0092659A" w:rsidP="0092659A">
      <w:r w:rsidRPr="00D427B9">
        <w:rPr>
          <w:b/>
        </w:rPr>
        <w:t>Для Стокгольмской конвенции</w:t>
      </w:r>
      <w:r w:rsidR="00D427B9" w:rsidRPr="00D427B9">
        <w:rPr>
          <w:b/>
        </w:rPr>
        <w:t>:</w:t>
      </w:r>
    </w:p>
    <w:p w14:paraId="272C0167" w14:textId="48B77258" w:rsidR="0092659A" w:rsidRDefault="00D76CA2" w:rsidP="00FD5FEC">
      <w:pPr>
        <w:pStyle w:val="ac"/>
        <w:numPr>
          <w:ilvl w:val="0"/>
          <w:numId w:val="20"/>
        </w:numPr>
      </w:pPr>
      <w:r>
        <w:t>И</w:t>
      </w:r>
      <w:r w:rsidR="0092659A">
        <w:t>нформация о мандате, частоте, формате и процедурах назначения</w:t>
      </w:r>
      <w:r w:rsidR="0058498B">
        <w:t xml:space="preserve"> </w:t>
      </w:r>
      <w:hyperlink r:id="rId31" w:history="1">
        <w:r w:rsidR="0058498B">
          <w:rPr>
            <w:rStyle w:val="ad"/>
          </w:rPr>
          <w:t>официальных контактных лиц</w:t>
        </w:r>
      </w:hyperlink>
      <w:r w:rsidR="0058498B">
        <w:t xml:space="preserve"> </w:t>
      </w:r>
      <w:r w:rsidR="0092659A">
        <w:t xml:space="preserve">и </w:t>
      </w:r>
      <w:hyperlink r:id="rId32" w:history="1">
        <w:r w:rsidR="0058498B">
          <w:rPr>
            <w:rStyle w:val="ad"/>
          </w:rPr>
          <w:t>национальных координационных центров</w:t>
        </w:r>
      </w:hyperlink>
      <w:r w:rsidR="0058498B">
        <w:t>.</w:t>
      </w:r>
    </w:p>
    <w:p w14:paraId="226EFB51" w14:textId="107183E1" w:rsidR="0092659A" w:rsidRDefault="003A5BF9" w:rsidP="00FD5FEC">
      <w:pPr>
        <w:pStyle w:val="ac"/>
        <w:numPr>
          <w:ilvl w:val="0"/>
          <w:numId w:val="20"/>
        </w:numPr>
      </w:pPr>
      <w:hyperlink r:id="rId33" w:history="1">
        <w:r w:rsidR="00B74C82">
          <w:rPr>
            <w:rStyle w:val="ad"/>
          </w:rPr>
          <w:t>Руководство пользователя Системы электронной отчетности Стокгольмской конвенции о стойких органических загрязнителях (</w:t>
        </w:r>
        <w:proofErr w:type="spellStart"/>
        <w:r w:rsidR="00B74C82">
          <w:rPr>
            <w:rStyle w:val="ad"/>
          </w:rPr>
          <w:t>POPs</w:t>
        </w:r>
        <w:proofErr w:type="spellEnd"/>
        <w:r w:rsidR="00B74C82">
          <w:rPr>
            <w:rStyle w:val="ad"/>
          </w:rPr>
          <w:t>) и Руководство по составлению национальных отчетов</w:t>
        </w:r>
      </w:hyperlink>
      <w:r w:rsidR="005D13FA">
        <w:t xml:space="preserve"> </w:t>
      </w:r>
      <w:r w:rsidR="0092659A">
        <w:t>в соответствии со ста</w:t>
      </w:r>
      <w:r w:rsidR="005D13FA">
        <w:t>тьей 15 Стокгольмской конвенции.</w:t>
      </w:r>
    </w:p>
    <w:p w14:paraId="76A12FD5" w14:textId="21EA9157" w:rsidR="00FE58DD" w:rsidRDefault="00CC7C58" w:rsidP="00FD5FEC">
      <w:pPr>
        <w:pStyle w:val="ac"/>
        <w:numPr>
          <w:ilvl w:val="0"/>
          <w:numId w:val="20"/>
        </w:numPr>
      </w:pPr>
      <w:r>
        <w:t xml:space="preserve">Набор </w:t>
      </w:r>
      <w:hyperlink r:id="rId34" w:history="1">
        <w:r w:rsidR="005D13FA">
          <w:rPr>
            <w:rStyle w:val="ad"/>
          </w:rPr>
          <w:t>руководящих документов для разработки и обновления национальных планов выполнения в рамках Стокгольмской конвенции</w:t>
        </w:r>
      </w:hyperlink>
      <w:r>
        <w:t>.</w:t>
      </w:r>
    </w:p>
    <w:p w14:paraId="22A4A40E" w14:textId="1732B2DD" w:rsidR="0092659A" w:rsidRDefault="0092659A" w:rsidP="0092659A">
      <w:r>
        <w:t xml:space="preserve">Для передачи уведомлений о назначении контактов со странами в соответствии с Базельской, Роттердамской и Стокгольмской конвенциями пересмотренная форма была </w:t>
      </w:r>
      <w:r w:rsidR="00994445">
        <w:t xml:space="preserve">гармонизирована </w:t>
      </w:r>
      <w:r>
        <w:t xml:space="preserve">и может использоваться для передачи информации о назначенных контактах в соответствии с положениями любой или всех трех конвенций. Это предназначено для облегчения передачи информации в Секретариат при </w:t>
      </w:r>
      <w:r w:rsidR="00994445">
        <w:t>соблюдении</w:t>
      </w:r>
      <w:r>
        <w:t xml:space="preserve"> право</w:t>
      </w:r>
      <w:r w:rsidR="00B8481C">
        <w:t>вой автономии каждой Конвенции.</w:t>
      </w:r>
    </w:p>
    <w:p w14:paraId="15A7D2BF" w14:textId="77777777" w:rsidR="00952661" w:rsidRDefault="00952661" w:rsidP="0092659A">
      <w:r>
        <w:t xml:space="preserve">Для </w:t>
      </w:r>
      <w:r w:rsidRPr="00952661">
        <w:rPr>
          <w:b/>
        </w:rPr>
        <w:t>Минаматской конвенции:</w:t>
      </w:r>
    </w:p>
    <w:p w14:paraId="628FA55F" w14:textId="578F06FA" w:rsidR="00952661" w:rsidRPr="00952661" w:rsidRDefault="003A5BF9" w:rsidP="00FD5FEC">
      <w:pPr>
        <w:pStyle w:val="ac"/>
        <w:numPr>
          <w:ilvl w:val="0"/>
          <w:numId w:val="21"/>
        </w:numPr>
      </w:pPr>
      <w:hyperlink r:id="rId35" w:history="1">
        <w:r w:rsidR="00952661" w:rsidRPr="00952661">
          <w:rPr>
            <w:rStyle w:val="ad"/>
          </w:rPr>
          <w:t>Государствам или региональной экономической интеграционной группировке предлагается назначить национальных координаторов, используя форму и образец письма</w:t>
        </w:r>
      </w:hyperlink>
      <w:r w:rsidR="00952661">
        <w:t>.</w:t>
      </w:r>
    </w:p>
    <w:p w14:paraId="083A67B1" w14:textId="203C57E4" w:rsidR="00952661" w:rsidRDefault="003A5BF9" w:rsidP="00952661">
      <w:pPr>
        <w:pStyle w:val="a0"/>
      </w:pPr>
      <w:hyperlink r:id="rId36" w:history="1">
        <w:r w:rsidR="00064E23">
          <w:rPr>
            <w:rStyle w:val="ad"/>
          </w:rPr>
          <w:t>Руководство по представлению национальных отчетов</w:t>
        </w:r>
      </w:hyperlink>
      <w:r w:rsidR="002D608A">
        <w:t>.</w:t>
      </w:r>
    </w:p>
    <w:p w14:paraId="38298596" w14:textId="77777777" w:rsidR="00064E23" w:rsidRPr="00952661" w:rsidRDefault="00064E23" w:rsidP="00952661">
      <w:pPr>
        <w:pStyle w:val="a0"/>
      </w:pPr>
    </w:p>
    <w:p w14:paraId="437B886D" w14:textId="53D2CDDB" w:rsidR="0092659A" w:rsidRPr="0092659A" w:rsidRDefault="0092659A" w:rsidP="0092659A">
      <w:r w:rsidRPr="004F2A6F">
        <w:rPr>
          <w:b/>
        </w:rPr>
        <w:t>Монреальский протокол</w:t>
      </w:r>
      <w:r>
        <w:t xml:space="preserve"> не дает странам никаких указаний по сбору данных на национальном уровне. Тем не менее, стороны приняли формы представления данных, чтобы направлять стороны в отношении информации, которая должна быть сообщена в Секретариат. Кроме того, в рамках протокола, развивающиеся страны получают техническую и финансовую помощь, часть которой включает учебные пособия и другие ресурсы, а также руководство по составлению отчетов о данных - </w:t>
      </w:r>
      <w:hyperlink r:id="rId37" w:history="1">
        <w:r w:rsidR="004F2A6F" w:rsidRPr="005D00BE">
          <w:rPr>
            <w:rStyle w:val="ad"/>
          </w:rPr>
          <w:t>https://www.unenvironment.org/ozonaction/resources</w:t>
        </w:r>
      </w:hyperlink>
      <w:r>
        <w:t>.</w:t>
      </w:r>
    </w:p>
    <w:p w14:paraId="752D91E4" w14:textId="77777777" w:rsidR="00151C00" w:rsidRDefault="002E15F9" w:rsidP="0092659A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  <w:r w:rsidR="000C224E">
        <w:rPr>
          <w:b/>
          <w:szCs w:val="24"/>
        </w:rPr>
        <w:t xml:space="preserve"> </w:t>
      </w:r>
    </w:p>
    <w:p w14:paraId="7042BEED" w14:textId="53E6FB6D" w:rsidR="00B8481C" w:rsidRPr="00B8481C" w:rsidRDefault="0062185F" w:rsidP="00B8481C">
      <w:r w:rsidRPr="00201D5E">
        <w:rPr>
          <w:b/>
        </w:rPr>
        <w:t>Секретариат Базе</w:t>
      </w:r>
      <w:r w:rsidR="00FF6AE6">
        <w:rPr>
          <w:b/>
        </w:rPr>
        <w:t>ля, Роттердама и Стокгольма (</w:t>
      </w:r>
      <w:r w:rsidR="00B74C82">
        <w:rPr>
          <w:b/>
          <w:lang w:val="en-US"/>
        </w:rPr>
        <w:t>BRS</w:t>
      </w:r>
      <w:r w:rsidRPr="00201D5E">
        <w:rPr>
          <w:b/>
        </w:rPr>
        <w:t>)</w:t>
      </w:r>
      <w:r>
        <w:t xml:space="preserve"> </w:t>
      </w:r>
      <w:r w:rsidR="00B8481C" w:rsidRPr="00B8481C">
        <w:t>проверяет национальные отчеты на пр</w:t>
      </w:r>
      <w:r w:rsidR="002D5C8B">
        <w:t xml:space="preserve">едмет полноты и правильности и </w:t>
      </w:r>
      <w:r w:rsidR="00B8481C" w:rsidRPr="00B8481C">
        <w:t>связывается со Сторонами с целью устранения выявленных пробелов</w:t>
      </w:r>
      <w:r w:rsidR="002D5C8B">
        <w:t>,</w:t>
      </w:r>
      <w:r w:rsidR="002D5C8B" w:rsidRPr="002D5C8B">
        <w:t xml:space="preserve"> </w:t>
      </w:r>
      <w:r w:rsidR="002D5C8B">
        <w:t>где это возможно</w:t>
      </w:r>
      <w:r w:rsidR="00B8481C" w:rsidRPr="00B8481C">
        <w:t>.</w:t>
      </w:r>
    </w:p>
    <w:p w14:paraId="4BA387E7" w14:textId="77777777" w:rsidR="00B8481C" w:rsidRPr="00B8481C" w:rsidRDefault="00B8481C" w:rsidP="00B8481C">
      <w:r w:rsidRPr="00B8481C">
        <w:t>В рамках Комитета, управляющего Механизмом содействия осуществлению и соблюдению (ICC), который является вспомогательным органом Базельской конвенции, существует постоянная область работы по национальной отчетности, которая направлена ​​на улучшение своевременной и полной национальной отчетности в соответствии с пунктом 3 ст</w:t>
      </w:r>
      <w:r>
        <w:t>атьи</w:t>
      </w:r>
      <w:r w:rsidRPr="00B8481C">
        <w:t xml:space="preserve"> 13 Конвенции. Мероприятия на двухгодичный период 2020-2021 годов включают, среди прочего, классификацию и, при необходимости, публикацию информации о соблюдении Сторонами своих обязательств по ежегодной национальной </w:t>
      </w:r>
      <w:r w:rsidRPr="00B8481C">
        <w:lastRenderedPageBreak/>
        <w:t>отчетности за 2016 и 2017 годы на основе предположений, критериев и категорий, принятых Конференцией Сторон на его тринадцатое совещание и целевые показатели, принятые Конференцией Сторон на ее четырнадцатом совещании; разработка рекомендаций по пересмотру целевых показателей, упомянутых в пункте 13 решения BC-14/15, для отчетов, подлежащих представлению за 2018 и последующие годы; и с целью повышения полноты и своевременности национальной отчетности в соответствии с пунктом 3 статьи 13 изучение того, как отдельные Стороны могут интегрировать потребности в национальной отчетности в соответствии с Базельской конвенцией в Рамочную программу Организации Объединенных Наций по оказанию помощи в целях развития.</w:t>
      </w:r>
    </w:p>
    <w:p w14:paraId="389F1A32" w14:textId="6D4B3E8A" w:rsidR="00E600CA" w:rsidRDefault="00E600CA" w:rsidP="00B8481C">
      <w:pPr>
        <w:rPr>
          <w:b/>
        </w:rPr>
      </w:pPr>
      <w:r w:rsidRPr="00E600CA">
        <w:rPr>
          <w:b/>
        </w:rPr>
        <w:t>Секретариат Минамат</w:t>
      </w:r>
      <w:r w:rsidR="00A149F5">
        <w:rPr>
          <w:b/>
        </w:rPr>
        <w:t>ской конвенции</w:t>
      </w:r>
      <w:r w:rsidRPr="00E600CA">
        <w:rPr>
          <w:b/>
        </w:rPr>
        <w:t xml:space="preserve"> </w:t>
      </w:r>
      <w:r w:rsidRPr="00E600CA">
        <w:t>использует онлайн-систему отчетности с базой данных для сбора и управления сообщаемой информацией. Это дополняется внутренней системой для (i) проверки полноты и правильности полученных отчетов; и (</w:t>
      </w:r>
      <w:proofErr w:type="spellStart"/>
      <w:r w:rsidRPr="00E600CA">
        <w:t>ii</w:t>
      </w:r>
      <w:proofErr w:type="spellEnd"/>
      <w:r w:rsidRPr="00E600CA">
        <w:t>) информирова</w:t>
      </w:r>
      <w:r w:rsidR="00A149F5">
        <w:t xml:space="preserve">ния </w:t>
      </w:r>
      <w:r w:rsidRPr="00E600CA">
        <w:t>Стороны о результатах такого рассмотрения до публикации отчетов на веб-сайте Минаматской конвенции.</w:t>
      </w:r>
    </w:p>
    <w:p w14:paraId="5DFF9FB3" w14:textId="4ABCB2A0" w:rsidR="00B8481C" w:rsidRDefault="00B8481C" w:rsidP="00B8481C">
      <w:r w:rsidRPr="00E600CA">
        <w:rPr>
          <w:b/>
        </w:rPr>
        <w:t xml:space="preserve">Секретариат </w:t>
      </w:r>
      <w:proofErr w:type="spellStart"/>
      <w:r w:rsidRPr="00E600CA">
        <w:rPr>
          <w:b/>
        </w:rPr>
        <w:t>Монреальского</w:t>
      </w:r>
      <w:proofErr w:type="spellEnd"/>
      <w:r w:rsidRPr="00E600CA">
        <w:rPr>
          <w:b/>
        </w:rPr>
        <w:t xml:space="preserve"> протокола</w:t>
      </w:r>
      <w:r w:rsidRPr="00B8481C">
        <w:t xml:space="preserve"> использует онлайн-систему отчетности с базой данных для сбора и управления предоставленной информацией. Система включает в себя множество правил проверки и валидации для обеспечения полноты и непротиворечивости сообщаемой информации.</w:t>
      </w:r>
    </w:p>
    <w:p w14:paraId="329E7A82" w14:textId="77777777"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048204A8" w14:textId="10C89B72" w:rsidR="00333E4E" w:rsidRPr="00333E4E" w:rsidRDefault="00333E4E" w:rsidP="00333E4E">
      <w:r w:rsidRPr="00333E4E">
        <w:t xml:space="preserve">Для </w:t>
      </w:r>
      <w:r w:rsidRPr="00A149F5">
        <w:rPr>
          <w:b/>
        </w:rPr>
        <w:t>Базельской</w:t>
      </w:r>
      <w:r w:rsidR="00A149F5" w:rsidRPr="00A149F5">
        <w:rPr>
          <w:b/>
        </w:rPr>
        <w:t>, Роттердамской</w:t>
      </w:r>
      <w:r w:rsidRPr="00A149F5">
        <w:rPr>
          <w:b/>
        </w:rPr>
        <w:t xml:space="preserve"> и Стокгольмской конвенций</w:t>
      </w:r>
      <w:r w:rsidRPr="00333E4E">
        <w:t xml:space="preserve"> система электронной отчетности </w:t>
      </w:r>
      <w:r w:rsidR="007E2BA4">
        <w:t>–</w:t>
      </w:r>
      <w:r w:rsidRPr="00333E4E">
        <w:t xml:space="preserve"> это инструмент, который Стороны используют для представле</w:t>
      </w:r>
      <w:r>
        <w:t>ния своих национальных отчетов.</w:t>
      </w:r>
      <w:r w:rsidR="007E2BA4">
        <w:t xml:space="preserve"> </w:t>
      </w:r>
      <w:r w:rsidRPr="00333E4E">
        <w:t>Рекомендации</w:t>
      </w:r>
      <w:r>
        <w:t xml:space="preserve"> см. в ответах на вопрос 4 (h).</w:t>
      </w:r>
    </w:p>
    <w:p w14:paraId="1AA76B57" w14:textId="4A80D34B" w:rsidR="00333E4E" w:rsidRDefault="00411D24" w:rsidP="00333E4E">
      <w:r w:rsidRPr="00411D24">
        <w:t xml:space="preserve">Формат отчетности по </w:t>
      </w:r>
      <w:r w:rsidRPr="00411D24">
        <w:rPr>
          <w:b/>
        </w:rPr>
        <w:t>Минаматской конвенции</w:t>
      </w:r>
      <w:r w:rsidRPr="00411D24">
        <w:t xml:space="preserve"> был принят первой Конференцией Сторон (</w:t>
      </w:r>
      <w:r w:rsidR="00E679F7">
        <w:rPr>
          <w:lang w:val="en-US"/>
        </w:rPr>
        <w:t>COP</w:t>
      </w:r>
      <w:r w:rsidRPr="00411D24">
        <w:t>) для представления национальных докладов в соответствии со статьей 21.</w:t>
      </w:r>
      <w:r>
        <w:t xml:space="preserve"> </w:t>
      </w:r>
      <w:r w:rsidR="00F5750A" w:rsidRPr="00F5750A">
        <w:t xml:space="preserve">Секретариат подготовил руководство для кратких докладов (4 вопроса) в помощь Сторонам. В решении </w:t>
      </w:r>
      <w:r w:rsidR="00E679F7">
        <w:rPr>
          <w:lang w:val="en-US"/>
        </w:rPr>
        <w:t>MC</w:t>
      </w:r>
      <w:r w:rsidR="00F5750A" w:rsidRPr="00F5750A">
        <w:t xml:space="preserve">-3/13 о руководстве по заполнению формата национальной отчетности </w:t>
      </w:r>
      <w:r w:rsidR="00E679F7">
        <w:rPr>
          <w:lang w:val="en-US"/>
        </w:rPr>
        <w:t>COP</w:t>
      </w:r>
      <w:r w:rsidR="00F5750A" w:rsidRPr="00F5750A">
        <w:t xml:space="preserve"> признала необходимость в полной и согласованной национальной отчетности для предоставления информации для оценки эффективности и поддержки соблюдения и просила секретариат подготовить проект руководства по полному формату национальной отчетности, чтобы уточнить запрашиваемую информацию. Проект Руководства был распространен 20 мая 2021 года и в предварительном порядке использовался для информирования о завершении подготовки первых полных национальных докладов, которые должны быть представлены к 31 декабря 2021 года. Проект руководства находится на рассмотрении на четвертом совещании Конференции Сторон Минаматской конвенции в марте 2022 года.</w:t>
      </w:r>
      <w:r w:rsidR="00F5750A">
        <w:t xml:space="preserve"> </w:t>
      </w:r>
      <w:r w:rsidR="00F5750A" w:rsidRPr="00F5750A">
        <w:t>7 сентября 2021 года Секретариат разработал и запустил онлайн-инструмент отчетности для оказания помощи Сторонам и облегчения сбора информации для отчетов. В соответствии с Минаматской конвенцией ответственность за обеспечение качества представляемых данных и информации лежит на Сторонах.</w:t>
      </w:r>
      <w:r w:rsidR="00F5750A">
        <w:t xml:space="preserve"> </w:t>
      </w:r>
      <w:r w:rsidR="00333E4E" w:rsidRPr="00333E4E">
        <w:t xml:space="preserve">В соответствии с </w:t>
      </w:r>
      <w:r w:rsidR="0081130B" w:rsidRPr="0081130B">
        <w:t>Минаматской конвенци</w:t>
      </w:r>
      <w:r w:rsidR="0081130B">
        <w:t xml:space="preserve">ей </w:t>
      </w:r>
      <w:r w:rsidR="00333E4E" w:rsidRPr="00333E4E">
        <w:t>ответственность за обеспечение качества представленны</w:t>
      </w:r>
      <w:r w:rsidR="0081130B">
        <w:t>х данных и информации лежит на С</w:t>
      </w:r>
      <w:r w:rsidR="00333E4E" w:rsidRPr="00333E4E">
        <w:t>торонах.</w:t>
      </w:r>
    </w:p>
    <w:p w14:paraId="384F71FB" w14:textId="3EF097D8" w:rsidR="00DF7ADB" w:rsidRPr="00DF7ADB" w:rsidRDefault="00DF7ADB" w:rsidP="00DF7ADB">
      <w:r w:rsidRPr="00333E4E">
        <w:lastRenderedPageBreak/>
        <w:t xml:space="preserve">В соответствии с </w:t>
      </w:r>
      <w:r>
        <w:t xml:space="preserve">Монреальским протоколом </w:t>
      </w:r>
      <w:r w:rsidRPr="00333E4E">
        <w:t>ответственность за обеспечение качества представленны</w:t>
      </w:r>
      <w:r>
        <w:t>х данных и информации лежит на С</w:t>
      </w:r>
      <w:r w:rsidRPr="00333E4E">
        <w:t>торонах.</w:t>
      </w:r>
    </w:p>
    <w:p w14:paraId="23CDAA3F" w14:textId="77777777" w:rsidR="002E15F9" w:rsidRDefault="0075371E" w:rsidP="00333E4E">
      <w:pPr>
        <w:pStyle w:val="MHeader"/>
        <w:rPr>
          <w:b/>
          <w:color w:val="auto"/>
          <w:sz w:val="24"/>
          <w:lang w:val="ru-RU"/>
        </w:rPr>
      </w:pPr>
      <w:r w:rsidRPr="00C25F50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C25F50">
        <w:rPr>
          <w:b/>
          <w:color w:val="auto"/>
          <w:sz w:val="24"/>
          <w:lang w:val="ru-RU"/>
        </w:rPr>
        <w:t xml:space="preserve">. Оценка качества </w:t>
      </w:r>
    </w:p>
    <w:p w14:paraId="2408EADC" w14:textId="77777777" w:rsidR="00333E4E" w:rsidRPr="00333E4E" w:rsidRDefault="00333E4E" w:rsidP="00333E4E">
      <w:r w:rsidRPr="00333E4E">
        <w:t xml:space="preserve">Для </w:t>
      </w:r>
      <w:r w:rsidRPr="005973EF">
        <w:rPr>
          <w:b/>
        </w:rPr>
        <w:t>Базельской, Роттердамской и Стокгольмской конвенций</w:t>
      </w:r>
      <w:r w:rsidRPr="00333E4E">
        <w:t xml:space="preserve"> информация, переданная Сторонами в секретариат, предоставляется Конференции Сторон для мониторинга.</w:t>
      </w:r>
    </w:p>
    <w:p w14:paraId="358D2F0D" w14:textId="407E3DF3" w:rsidR="00547B1F" w:rsidRDefault="005973EF" w:rsidP="00CD238E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gramStart"/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В отношении</w:t>
      </w:r>
      <w:r w:rsidR="00DF23C1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="00DF23C1" w:rsidRPr="000F7BFD">
        <w:rPr>
          <w:rFonts w:eastAsiaTheme="minorHAnsi" w:cstheme="minorBidi"/>
          <w:b/>
          <w:color w:val="auto"/>
          <w:sz w:val="24"/>
          <w:szCs w:val="22"/>
          <w:lang w:val="ru-RU" w:eastAsia="en-US"/>
        </w:rPr>
        <w:t>Минаматской конвенции</w:t>
      </w:r>
      <w:r w:rsidR="000F7BFD">
        <w:rPr>
          <w:rFonts w:eastAsiaTheme="minorHAnsi" w:cstheme="minorBidi"/>
          <w:color w:val="auto"/>
          <w:sz w:val="24"/>
          <w:szCs w:val="22"/>
          <w:lang w:val="ru-RU" w:eastAsia="en-US"/>
        </w:rPr>
        <w:t>,</w:t>
      </w:r>
      <w:r w:rsidR="00DF23C1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Секретариат сообщил об очень высоком уровне отч</w:t>
      </w:r>
      <w:r w:rsidR="000F7BF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етности: 89% Сторон представили </w:t>
      </w:r>
      <w:r w:rsidR="003A5BF9">
        <w:fldChar w:fldCharType="begin"/>
      </w:r>
      <w:r w:rsidR="003A5BF9" w:rsidRPr="003A5BF9">
        <w:rPr>
          <w:lang w:val="ru-RU"/>
        </w:rPr>
        <w:instrText xml:space="preserve"> </w:instrText>
      </w:r>
      <w:r w:rsidR="003A5BF9">
        <w:instrText>HYPERLINK</w:instrText>
      </w:r>
      <w:r w:rsidR="003A5BF9" w:rsidRPr="003A5BF9">
        <w:rPr>
          <w:lang w:val="ru-RU"/>
        </w:rPr>
        <w:instrText xml:space="preserve"> "</w:instrText>
      </w:r>
      <w:r w:rsidR="003A5BF9">
        <w:instrText>https</w:instrText>
      </w:r>
      <w:r w:rsidR="003A5BF9" w:rsidRPr="003A5BF9">
        <w:rPr>
          <w:lang w:val="ru-RU"/>
        </w:rPr>
        <w:instrText>://</w:instrText>
      </w:r>
      <w:r w:rsidR="003A5BF9">
        <w:instrText>www</w:instrText>
      </w:r>
      <w:r w:rsidR="003A5BF9" w:rsidRPr="003A5BF9">
        <w:rPr>
          <w:lang w:val="ru-RU"/>
        </w:rPr>
        <w:instrText>.</w:instrText>
      </w:r>
      <w:r w:rsidR="003A5BF9">
        <w:instrText>mercuryconvention</w:instrText>
      </w:r>
      <w:r w:rsidR="003A5BF9" w:rsidRPr="003A5BF9">
        <w:rPr>
          <w:lang w:val="ru-RU"/>
        </w:rPr>
        <w:instrText>.</w:instrText>
      </w:r>
      <w:r w:rsidR="003A5BF9">
        <w:instrText>org</w:instrText>
      </w:r>
      <w:r w:rsidR="003A5BF9" w:rsidRPr="003A5BF9">
        <w:rPr>
          <w:lang w:val="ru-RU"/>
        </w:rPr>
        <w:instrText>/</w:instrText>
      </w:r>
      <w:r w:rsidR="003A5BF9">
        <w:instrText>en</w:instrText>
      </w:r>
      <w:r w:rsidR="003A5BF9" w:rsidRPr="003A5BF9">
        <w:rPr>
          <w:lang w:val="ru-RU"/>
        </w:rPr>
        <w:instrText>/</w:instrText>
      </w:r>
      <w:r w:rsidR="003A5BF9">
        <w:instrText>parties</w:instrText>
      </w:r>
      <w:r w:rsidR="003A5BF9" w:rsidRPr="003A5BF9">
        <w:rPr>
          <w:lang w:val="ru-RU"/>
        </w:rPr>
        <w:instrText>/</w:instrText>
      </w:r>
      <w:r w:rsidR="003A5BF9">
        <w:instrText>reporting</w:instrText>
      </w:r>
      <w:r w:rsidR="003A5BF9" w:rsidRPr="003A5BF9">
        <w:rPr>
          <w:lang w:val="ru-RU"/>
        </w:rPr>
        <w:instrText xml:space="preserve">/2019" </w:instrText>
      </w:r>
      <w:r w:rsidR="003A5BF9">
        <w:fldChar w:fldCharType="separate"/>
      </w:r>
      <w:r w:rsidR="000F7BFD">
        <w:rPr>
          <w:rStyle w:val="ad"/>
          <w:rFonts w:eastAsiaTheme="minorHAnsi" w:cstheme="minorBidi"/>
          <w:sz w:val="24"/>
          <w:szCs w:val="22"/>
          <w:lang w:val="ru-RU" w:eastAsia="en-US"/>
        </w:rPr>
        <w:t>свой первый краткий национальный доклад</w:t>
      </w:r>
      <w:r w:rsidR="003A5BF9">
        <w:rPr>
          <w:rStyle w:val="ad"/>
          <w:rFonts w:eastAsiaTheme="minorHAnsi" w:cstheme="minorBidi"/>
          <w:sz w:val="24"/>
          <w:szCs w:val="22"/>
          <w:lang w:val="ru-RU" w:eastAsia="en-US"/>
        </w:rPr>
        <w:fldChar w:fldCharType="end"/>
      </w:r>
      <w:r w:rsidR="00916753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>)</w:t>
      </w:r>
      <w:r w:rsidR="004A02F7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  <w:proofErr w:type="gramEnd"/>
      <w:r w:rsidR="004A02F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Секретариат </w:t>
      </w:r>
      <w:r w:rsidR="00DF23C1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>также сообщ</w:t>
      </w:r>
      <w:r w:rsidR="004A02F7">
        <w:rPr>
          <w:rFonts w:eastAsiaTheme="minorHAnsi" w:cstheme="minorBidi"/>
          <w:color w:val="auto"/>
          <w:sz w:val="24"/>
          <w:szCs w:val="22"/>
          <w:lang w:val="ru-RU" w:eastAsia="en-US"/>
        </w:rPr>
        <w:t>ает о том</w:t>
      </w:r>
      <w:r w:rsidR="00DF23C1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что 96% Сторон </w:t>
      </w:r>
      <w:r w:rsidR="00547B1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назначили </w:t>
      </w:r>
      <w:hyperlink r:id="rId38" w:history="1">
        <w:r w:rsidR="00547B1F">
          <w:rPr>
            <w:rStyle w:val="ad"/>
            <w:rFonts w:eastAsiaTheme="minorHAnsi" w:cstheme="minorBidi"/>
            <w:sz w:val="24"/>
            <w:szCs w:val="22"/>
            <w:lang w:val="ru-RU" w:eastAsia="en-US"/>
          </w:rPr>
          <w:t>национальные координационные центры</w:t>
        </w:r>
      </w:hyperlink>
      <w:r w:rsidR="00C837A5" w:rsidRPr="00C837A5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="00C837A5"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>своевременно</w:t>
      </w:r>
      <w:r w:rsidR="00C837A5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и надлежащим образом</w:t>
      </w:r>
      <w:r w:rsidR="00284CD0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14:paraId="623406E5" w14:textId="0452C5CA" w:rsidR="00DF23C1" w:rsidRDefault="00DF23C1" w:rsidP="00CD238E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В соответствии с </w:t>
      </w:r>
      <w:r w:rsidRPr="00732ABD">
        <w:rPr>
          <w:rFonts w:eastAsiaTheme="minorHAnsi" w:cstheme="minorBidi"/>
          <w:b/>
          <w:color w:val="auto"/>
          <w:sz w:val="24"/>
          <w:szCs w:val="22"/>
          <w:lang w:val="ru-RU" w:eastAsia="en-US"/>
        </w:rPr>
        <w:t>Монреальским протоколом</w:t>
      </w:r>
      <w:r w:rsidRPr="00DF23C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ответственность за общую оценку соответствия качества представленных данных лежит на Сторонах.</w:t>
      </w:r>
    </w:p>
    <w:p w14:paraId="7EDC2F94" w14:textId="47174161"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601A45C3" w14:textId="77777777" w:rsidR="00BA61D3" w:rsidRPr="002D52DB" w:rsidRDefault="00BA61D3" w:rsidP="00BA61D3">
      <w:pPr>
        <w:rPr>
          <w:b/>
        </w:rPr>
      </w:pPr>
      <w:r w:rsidRPr="002D52DB">
        <w:rPr>
          <w:b/>
        </w:rPr>
        <w:t>Доступность данных:</w:t>
      </w:r>
    </w:p>
    <w:p w14:paraId="6AF33390" w14:textId="0DA025DC" w:rsidR="00333E4E" w:rsidRDefault="00333E4E" w:rsidP="00FD5FEC">
      <w:pPr>
        <w:pStyle w:val="ac"/>
        <w:numPr>
          <w:ilvl w:val="0"/>
          <w:numId w:val="22"/>
        </w:numPr>
      </w:pPr>
      <w:proofErr w:type="spellStart"/>
      <w:r>
        <w:t>Базельская</w:t>
      </w:r>
      <w:proofErr w:type="spellEnd"/>
      <w:r>
        <w:t xml:space="preserve"> конвенция: 18</w:t>
      </w:r>
      <w:r w:rsidR="000431F7">
        <w:t>9</w:t>
      </w:r>
      <w:r>
        <w:t xml:space="preserve"> Сторон;</w:t>
      </w:r>
    </w:p>
    <w:p w14:paraId="0F0E0078" w14:textId="10EEAFEF" w:rsidR="00333E4E" w:rsidRDefault="00333E4E" w:rsidP="00FD5FEC">
      <w:pPr>
        <w:pStyle w:val="ac"/>
        <w:numPr>
          <w:ilvl w:val="0"/>
          <w:numId w:val="22"/>
        </w:numPr>
      </w:pPr>
      <w:proofErr w:type="spellStart"/>
      <w:r>
        <w:t>Роттердамская</w:t>
      </w:r>
      <w:proofErr w:type="spellEnd"/>
      <w:r>
        <w:t xml:space="preserve"> конвенция: 16</w:t>
      </w:r>
      <w:r w:rsidR="000431F7">
        <w:t>5</w:t>
      </w:r>
      <w:r>
        <w:t xml:space="preserve"> Сторон;</w:t>
      </w:r>
    </w:p>
    <w:p w14:paraId="2734B777" w14:textId="4C14EF7B" w:rsidR="00333E4E" w:rsidRDefault="00333E4E" w:rsidP="00FD5FEC">
      <w:pPr>
        <w:pStyle w:val="ac"/>
        <w:numPr>
          <w:ilvl w:val="0"/>
          <w:numId w:val="22"/>
        </w:numPr>
      </w:pPr>
      <w:r>
        <w:t>Стокгольмская конвенция: 18</w:t>
      </w:r>
      <w:r w:rsidR="000431F7">
        <w:t>5</w:t>
      </w:r>
      <w:r>
        <w:t xml:space="preserve"> Сторон;</w:t>
      </w:r>
    </w:p>
    <w:p w14:paraId="2C6F08BA" w14:textId="53BF9E2A" w:rsidR="00333E4E" w:rsidRDefault="00333E4E" w:rsidP="00FD5FEC">
      <w:pPr>
        <w:pStyle w:val="ac"/>
        <w:numPr>
          <w:ilvl w:val="0"/>
          <w:numId w:val="22"/>
        </w:numPr>
      </w:pPr>
      <w:r>
        <w:t xml:space="preserve">Координационные центры для </w:t>
      </w:r>
      <w:proofErr w:type="spellStart"/>
      <w:r>
        <w:t>Монреальского</w:t>
      </w:r>
      <w:proofErr w:type="spellEnd"/>
      <w:r>
        <w:t xml:space="preserve"> протокола: 198 Сторон;</w:t>
      </w:r>
    </w:p>
    <w:p w14:paraId="3AAE9FC3" w14:textId="7F081173" w:rsidR="00333E4E" w:rsidRDefault="00333E4E" w:rsidP="00FD5FEC">
      <w:pPr>
        <w:pStyle w:val="ac"/>
        <w:numPr>
          <w:ilvl w:val="0"/>
          <w:numId w:val="22"/>
        </w:numPr>
      </w:pPr>
      <w:r>
        <w:t>Минаматская конвенция: в настоящее время 1</w:t>
      </w:r>
      <w:r w:rsidR="000431F7">
        <w:t>3</w:t>
      </w:r>
      <w:r>
        <w:t>7 Сторон.</w:t>
      </w:r>
    </w:p>
    <w:p w14:paraId="5833CDA9" w14:textId="77777777" w:rsidR="00BA61D3" w:rsidRPr="002D52DB" w:rsidRDefault="00BA61D3" w:rsidP="00333E4E">
      <w:pPr>
        <w:rPr>
          <w:b/>
        </w:rPr>
      </w:pPr>
      <w:r w:rsidRPr="002D52DB">
        <w:rPr>
          <w:b/>
        </w:rPr>
        <w:t>Временные ряды:</w:t>
      </w:r>
    </w:p>
    <w:p w14:paraId="5665B3B8" w14:textId="77777777" w:rsidR="00333E4E" w:rsidRDefault="00333E4E" w:rsidP="00333E4E">
      <w:r>
        <w:t>Отчетность по этому показателю будет следовать пятилетнему циклу.</w:t>
      </w:r>
    </w:p>
    <w:p w14:paraId="16AC8631" w14:textId="03330CA3" w:rsidR="00333E4E" w:rsidRDefault="00333E4E" w:rsidP="00FD5FEC">
      <w:pPr>
        <w:pStyle w:val="ac"/>
        <w:numPr>
          <w:ilvl w:val="0"/>
          <w:numId w:val="23"/>
        </w:numPr>
      </w:pPr>
      <w:r>
        <w:t>Первый базовый цикл отчетности в 2017 году: данные, собранные в период с 2010 по 2014 год;</w:t>
      </w:r>
    </w:p>
    <w:p w14:paraId="73A4D24D" w14:textId="3C56F88C" w:rsidR="00333E4E" w:rsidRDefault="00333E4E" w:rsidP="00FD5FEC">
      <w:pPr>
        <w:pStyle w:val="ac"/>
        <w:numPr>
          <w:ilvl w:val="0"/>
          <w:numId w:val="23"/>
        </w:numPr>
      </w:pPr>
      <w:r>
        <w:t>Второй цикл отчетности в 2020 году: данные, собранные с 2015 года по 2019 год;</w:t>
      </w:r>
    </w:p>
    <w:p w14:paraId="1524BF46" w14:textId="67310CC5" w:rsidR="00333E4E" w:rsidRDefault="00333E4E" w:rsidP="00FD5FEC">
      <w:pPr>
        <w:pStyle w:val="ac"/>
        <w:numPr>
          <w:ilvl w:val="0"/>
          <w:numId w:val="23"/>
        </w:numPr>
      </w:pPr>
      <w:r>
        <w:t>Третий цикл отчетности в 2025 году: данные, собранные в период с 2020 года по 2024 год;</w:t>
      </w:r>
    </w:p>
    <w:p w14:paraId="3DCA981A" w14:textId="41ED02E2" w:rsidR="00333E4E" w:rsidRPr="00333E4E" w:rsidRDefault="00333E4E" w:rsidP="00FD5FEC">
      <w:pPr>
        <w:pStyle w:val="ac"/>
        <w:numPr>
          <w:ilvl w:val="0"/>
          <w:numId w:val="23"/>
        </w:numPr>
      </w:pPr>
      <w:r>
        <w:t>Четвертый цикл отчетности в 2030 году: данные, собранные с 2025 года по 2029 год.</w:t>
      </w:r>
    </w:p>
    <w:p w14:paraId="2039F5B7" w14:textId="77777777" w:rsidR="00BA61D3" w:rsidRPr="002D52DB" w:rsidRDefault="00BA61D3" w:rsidP="00BA61D3">
      <w:pPr>
        <w:rPr>
          <w:b/>
        </w:rPr>
      </w:pPr>
      <w:proofErr w:type="spellStart"/>
      <w:r w:rsidRPr="002D52DB">
        <w:rPr>
          <w:b/>
        </w:rPr>
        <w:t>Дезагрегация</w:t>
      </w:r>
      <w:proofErr w:type="spellEnd"/>
      <w:r w:rsidRPr="002D52DB">
        <w:rPr>
          <w:b/>
        </w:rPr>
        <w:t>:</w:t>
      </w:r>
    </w:p>
    <w:p w14:paraId="61B42126" w14:textId="77777777" w:rsidR="002D52DB" w:rsidRDefault="0040409D" w:rsidP="00333E4E">
      <w:r w:rsidRPr="0040409D">
        <w:t>Этот показатель доступен на глобальном, региональном и национальном уровнях.</w:t>
      </w:r>
    </w:p>
    <w:p w14:paraId="4F98EA7C" w14:textId="3122FE40" w:rsidR="00333E4E" w:rsidRPr="00333E4E" w:rsidRDefault="00333E4E" w:rsidP="00333E4E">
      <w:r w:rsidRPr="00333E4E">
        <w:t xml:space="preserve">Показатель дезагрегирован по </w:t>
      </w:r>
      <w:r w:rsidR="003D1097">
        <w:t>к</w:t>
      </w:r>
      <w:r w:rsidRPr="00333E4E">
        <w:t>онвенциям, в дополнение</w:t>
      </w:r>
      <w:r w:rsidR="003D1097">
        <w:t xml:space="preserve"> к</w:t>
      </w:r>
      <w:r w:rsidRPr="00333E4E">
        <w:t xml:space="preserve"> </w:t>
      </w:r>
      <w:r w:rsidR="00C24761">
        <w:t>предоставлению</w:t>
      </w:r>
      <w:r w:rsidRPr="00333E4E">
        <w:t xml:space="preserve"> средне</w:t>
      </w:r>
      <w:r w:rsidR="00C24761">
        <w:t>го</w:t>
      </w:r>
      <w:r w:rsidRPr="00333E4E">
        <w:t xml:space="preserve"> коэффициент</w:t>
      </w:r>
      <w:r w:rsidR="00C24761">
        <w:t xml:space="preserve">а </w:t>
      </w:r>
      <w:r w:rsidRPr="00333E4E">
        <w:t>передачи информации по пяти Конвенциям.</w:t>
      </w:r>
    </w:p>
    <w:p w14:paraId="386883C5" w14:textId="77777777"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1C93E58D" w14:textId="77777777" w:rsidR="00BA61D3" w:rsidRDefault="00BA61D3" w:rsidP="007D2576">
      <w:r>
        <w:t>Источники расхождений:</w:t>
      </w:r>
    </w:p>
    <w:p w14:paraId="70DA028C" w14:textId="48BECE2A" w:rsidR="00333E4E" w:rsidRDefault="00333E4E" w:rsidP="007D2576">
      <w:proofErr w:type="gramStart"/>
      <w:r>
        <w:t xml:space="preserve">Для </w:t>
      </w:r>
      <w:r w:rsidR="002D52DB" w:rsidRPr="002D52DB">
        <w:rPr>
          <w:b/>
        </w:rPr>
        <w:t>Базельской, Роттердамской и Стокгольмской</w:t>
      </w:r>
      <w:r w:rsidR="002D52DB">
        <w:t xml:space="preserve"> конвенций </w:t>
      </w:r>
      <w:r>
        <w:t xml:space="preserve">данные </w:t>
      </w:r>
      <w:r w:rsidR="004D77A5">
        <w:t>составляются</w:t>
      </w:r>
      <w:r>
        <w:t xml:space="preserve"> Сторонами, а затем передаются в секретариат, который делает их общедоступными на веб-сайте конвенций.</w:t>
      </w:r>
      <w:proofErr w:type="gramEnd"/>
    </w:p>
    <w:p w14:paraId="76A0BB21" w14:textId="1A687998" w:rsidR="00333E4E" w:rsidRDefault="00333E4E" w:rsidP="007D2576">
      <w:r>
        <w:t xml:space="preserve">Для </w:t>
      </w:r>
      <w:r w:rsidRPr="002D52DB">
        <w:rPr>
          <w:b/>
        </w:rPr>
        <w:t>Минаматской конвенции</w:t>
      </w:r>
      <w:r>
        <w:t xml:space="preserve"> данные, представленные в этом документе, предоставлены только </w:t>
      </w:r>
      <w:r w:rsidR="008D0139">
        <w:t>Сторонами</w:t>
      </w:r>
      <w:r>
        <w:t>.</w:t>
      </w:r>
    </w:p>
    <w:p w14:paraId="0F37CE03" w14:textId="77777777" w:rsidR="00333E4E" w:rsidRDefault="00333E4E" w:rsidP="007D2576">
      <w:r>
        <w:lastRenderedPageBreak/>
        <w:t xml:space="preserve">В соответствии с </w:t>
      </w:r>
      <w:r w:rsidRPr="002D52DB">
        <w:rPr>
          <w:b/>
        </w:rPr>
        <w:t>Монреальским протоколом</w:t>
      </w:r>
      <w:r>
        <w:t xml:space="preserve"> данные и информация предоставляются Сторонами.</w:t>
      </w:r>
    </w:p>
    <w:p w14:paraId="55E58800" w14:textId="45515FDB" w:rsidR="00A87810" w:rsidRPr="00B43A46" w:rsidRDefault="00845FE2" w:rsidP="00B43A46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 w:cs="Times New Roman"/>
          <w:b/>
          <w:szCs w:val="24"/>
          <w:lang w:eastAsia="en-GB"/>
        </w:rPr>
        <w:t>7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0EEF3A42" w14:textId="77777777" w:rsidR="00A87810" w:rsidRDefault="00A87810" w:rsidP="00A87810">
      <w:pPr>
        <w:pStyle w:val="a0"/>
        <w:rPr>
          <w:lang w:eastAsia="en-GB"/>
        </w:rPr>
      </w:pPr>
      <w:r w:rsidRPr="00A87810">
        <w:rPr>
          <w:lang w:eastAsia="en-GB"/>
        </w:rPr>
        <w:t xml:space="preserve">Соответствующие ссылки на </w:t>
      </w:r>
      <w:proofErr w:type="spellStart"/>
      <w:r w:rsidRPr="00A87810">
        <w:rPr>
          <w:b/>
          <w:lang w:eastAsia="en-GB"/>
        </w:rPr>
        <w:t>Базельскую</w:t>
      </w:r>
      <w:proofErr w:type="spellEnd"/>
      <w:r w:rsidRPr="00A87810">
        <w:rPr>
          <w:b/>
          <w:lang w:eastAsia="en-GB"/>
        </w:rPr>
        <w:t xml:space="preserve">, </w:t>
      </w:r>
      <w:proofErr w:type="spellStart"/>
      <w:r w:rsidRPr="00A87810">
        <w:rPr>
          <w:b/>
          <w:lang w:eastAsia="en-GB"/>
        </w:rPr>
        <w:t>Роттердамскую</w:t>
      </w:r>
      <w:proofErr w:type="spellEnd"/>
      <w:r w:rsidRPr="00A87810">
        <w:rPr>
          <w:b/>
          <w:lang w:eastAsia="en-GB"/>
        </w:rPr>
        <w:t xml:space="preserve"> и </w:t>
      </w:r>
      <w:proofErr w:type="gramStart"/>
      <w:r w:rsidRPr="00A87810">
        <w:rPr>
          <w:b/>
          <w:lang w:eastAsia="en-GB"/>
        </w:rPr>
        <w:t>Стокгольмскую</w:t>
      </w:r>
      <w:proofErr w:type="gramEnd"/>
      <w:r w:rsidRPr="00A87810">
        <w:rPr>
          <w:b/>
          <w:lang w:eastAsia="en-GB"/>
        </w:rPr>
        <w:t xml:space="preserve"> конвенции</w:t>
      </w:r>
      <w:r w:rsidRPr="00A87810">
        <w:rPr>
          <w:lang w:eastAsia="en-GB"/>
        </w:rPr>
        <w:t>:</w:t>
      </w:r>
    </w:p>
    <w:p w14:paraId="3C3C13B7" w14:textId="0A9AB36C" w:rsidR="00A87810" w:rsidRPr="00A87810" w:rsidRDefault="003A5BF9" w:rsidP="00A87810">
      <w:pPr>
        <w:pStyle w:val="a0"/>
        <w:rPr>
          <w:lang w:val="en-US" w:eastAsia="en-GB"/>
        </w:rPr>
      </w:pPr>
      <w:hyperlink r:id="rId39" w:history="1">
        <w:r w:rsidR="00A87810" w:rsidRPr="00A87810">
          <w:rPr>
            <w:rStyle w:val="ad"/>
            <w:lang w:val="en-GB" w:eastAsia="en-GB"/>
          </w:rPr>
          <w:t>Basel</w:t>
        </w:r>
        <w:r w:rsidR="00A87810" w:rsidRPr="00A87810">
          <w:rPr>
            <w:rStyle w:val="ad"/>
            <w:lang w:val="en-US" w:eastAsia="en-GB"/>
          </w:rPr>
          <w:t xml:space="preserve">, </w:t>
        </w:r>
        <w:r w:rsidR="00A87810" w:rsidRPr="00A87810">
          <w:rPr>
            <w:rStyle w:val="ad"/>
            <w:lang w:val="en-GB" w:eastAsia="en-GB"/>
          </w:rPr>
          <w:t>Rotterdam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and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Stockholm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Conventions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and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the</w:t>
        </w:r>
        <w:r w:rsidR="00A87810" w:rsidRPr="00A87810">
          <w:rPr>
            <w:rStyle w:val="ad"/>
            <w:lang w:val="en-US" w:eastAsia="en-GB"/>
          </w:rPr>
          <w:t xml:space="preserve"> 2030 </w:t>
        </w:r>
        <w:r w:rsidR="00A87810" w:rsidRPr="00A87810">
          <w:rPr>
            <w:rStyle w:val="ad"/>
            <w:lang w:val="en-GB" w:eastAsia="en-GB"/>
          </w:rPr>
          <w:t>Agenda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for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Sustainable</w:t>
        </w:r>
        <w:r w:rsidR="00A87810" w:rsidRPr="00A87810">
          <w:rPr>
            <w:rStyle w:val="ad"/>
            <w:lang w:val="en-US"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Development</w:t>
        </w:r>
      </w:hyperlink>
      <w:r w:rsidR="00A87810" w:rsidRPr="00A87810">
        <w:rPr>
          <w:lang w:val="en-US" w:eastAsia="en-GB"/>
        </w:rPr>
        <w:t xml:space="preserve"> </w:t>
      </w:r>
    </w:p>
    <w:p w14:paraId="67CD2048" w14:textId="5D819BBB" w:rsidR="00A87810" w:rsidRPr="00A87810" w:rsidRDefault="003A5BF9" w:rsidP="00A87810">
      <w:pPr>
        <w:pStyle w:val="a0"/>
        <w:rPr>
          <w:lang w:eastAsia="en-GB"/>
        </w:rPr>
      </w:pPr>
      <w:hyperlink r:id="rId40" w:history="1">
        <w:r w:rsidR="00A87810" w:rsidRPr="00A87810">
          <w:rPr>
            <w:rStyle w:val="ad"/>
            <w:lang w:val="en-GB" w:eastAsia="en-GB"/>
          </w:rPr>
          <w:t>Country</w:t>
        </w:r>
        <w:r w:rsidR="00A87810" w:rsidRPr="00A87810">
          <w:rPr>
            <w:rStyle w:val="ad"/>
            <w:lang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Contacts</w:t>
        </w:r>
      </w:hyperlink>
      <w:r w:rsidR="00A87810" w:rsidRPr="00A87810">
        <w:rPr>
          <w:lang w:eastAsia="en-GB"/>
        </w:rPr>
        <w:t xml:space="preserve"> </w:t>
      </w:r>
      <w:r w:rsidR="00A87810">
        <w:rPr>
          <w:lang w:eastAsia="en-GB"/>
        </w:rPr>
        <w:t>для Базельской конвенции</w:t>
      </w:r>
      <w:r w:rsidR="00A87810" w:rsidRPr="00A87810">
        <w:rPr>
          <w:lang w:eastAsia="en-GB"/>
        </w:rPr>
        <w:t>;</w:t>
      </w:r>
    </w:p>
    <w:p w14:paraId="435C4AF7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1" w:history="1">
        <w:r w:rsidR="00A87810" w:rsidRPr="00A87810">
          <w:rPr>
            <w:rStyle w:val="ad"/>
            <w:lang w:val="en-GB" w:eastAsia="en-GB"/>
          </w:rPr>
          <w:t>Country Contacts for the Rotterdam Convention</w:t>
        </w:r>
      </w:hyperlink>
      <w:r w:rsidR="00A87810" w:rsidRPr="00A87810">
        <w:rPr>
          <w:lang w:val="en-GB" w:eastAsia="en-GB"/>
        </w:rPr>
        <w:t xml:space="preserve">; </w:t>
      </w:r>
    </w:p>
    <w:p w14:paraId="46B4B348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2" w:history="1">
        <w:r w:rsidR="00A87810" w:rsidRPr="00A87810">
          <w:rPr>
            <w:rStyle w:val="ad"/>
            <w:lang w:val="en-GB" w:eastAsia="en-GB"/>
          </w:rPr>
          <w:t>Country Contacts for the Stockholm Convention</w:t>
        </w:r>
      </w:hyperlink>
      <w:r w:rsidR="00A87810" w:rsidRPr="00A87810">
        <w:rPr>
          <w:lang w:val="en-GB" w:eastAsia="en-GB"/>
        </w:rPr>
        <w:t xml:space="preserve">; </w:t>
      </w:r>
    </w:p>
    <w:p w14:paraId="1D4EAAEC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3" w:history="1">
        <w:r w:rsidR="00A87810" w:rsidRPr="00A87810">
          <w:rPr>
            <w:rStyle w:val="ad"/>
            <w:lang w:val="en-GB" w:eastAsia="en-GB"/>
          </w:rPr>
          <w:t>Basel Convention National Reports - Year 2018</w:t>
        </w:r>
      </w:hyperlink>
      <w:r w:rsidR="00A87810" w:rsidRPr="00A87810">
        <w:rPr>
          <w:lang w:val="en-GB" w:eastAsia="en-GB"/>
        </w:rPr>
        <w:t xml:space="preserve">; </w:t>
      </w:r>
    </w:p>
    <w:p w14:paraId="6DFFEA6F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4" w:history="1">
        <w:r w:rsidR="00A87810" w:rsidRPr="00A87810">
          <w:rPr>
            <w:rStyle w:val="ad"/>
            <w:lang w:val="en-GB" w:eastAsia="en-GB"/>
          </w:rPr>
          <w:t>Prior Informed Consent Circulars for the Rotterdam Convention</w:t>
        </w:r>
      </w:hyperlink>
      <w:r w:rsidR="00A87810" w:rsidRPr="00A87810">
        <w:rPr>
          <w:lang w:val="en-GB" w:eastAsia="en-GB"/>
        </w:rPr>
        <w:t xml:space="preserve">; </w:t>
      </w:r>
    </w:p>
    <w:p w14:paraId="0DD1A834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5" w:history="1">
        <w:r w:rsidR="00A87810" w:rsidRPr="00A87810">
          <w:rPr>
            <w:rStyle w:val="ad"/>
            <w:lang w:val="en-GB" w:eastAsia="en-GB"/>
          </w:rPr>
          <w:t>Country Profiles for the Rotterdam Convention</w:t>
        </w:r>
      </w:hyperlink>
      <w:r w:rsidR="00A87810" w:rsidRPr="00A87810">
        <w:rPr>
          <w:lang w:val="en-GB" w:eastAsia="en-GB"/>
        </w:rPr>
        <w:t xml:space="preserve">; </w:t>
      </w:r>
    </w:p>
    <w:p w14:paraId="3F2E7A61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6" w:history="1">
        <w:r w:rsidR="00A87810" w:rsidRPr="00A87810">
          <w:rPr>
            <w:rStyle w:val="ad"/>
            <w:lang w:val="en-GB" w:eastAsia="en-GB"/>
          </w:rPr>
          <w:t>National Reports for the Stockholm Convention</w:t>
        </w:r>
      </w:hyperlink>
      <w:r w:rsidR="00A87810" w:rsidRPr="00A87810">
        <w:rPr>
          <w:lang w:val="en-GB" w:eastAsia="en-GB"/>
        </w:rPr>
        <w:t xml:space="preserve">; </w:t>
      </w:r>
    </w:p>
    <w:p w14:paraId="74AF442B" w14:textId="3650798C" w:rsidR="00A87810" w:rsidRPr="00742FC6" w:rsidRDefault="003A5BF9" w:rsidP="00A87810">
      <w:pPr>
        <w:pStyle w:val="a0"/>
        <w:rPr>
          <w:lang w:val="en-GB" w:eastAsia="en-GB"/>
        </w:rPr>
      </w:pPr>
      <w:r>
        <w:fldChar w:fldCharType="begin"/>
      </w:r>
      <w:r w:rsidRPr="003A5BF9">
        <w:rPr>
          <w:lang w:val="en-US"/>
        </w:rPr>
        <w:instrText xml:space="preserve"> HYPERLINK "http://chm.pops.int/Implementation/NationalImplementationPlans/NIPTransmission/tabid/253/Default.aspx" </w:instrText>
      </w:r>
      <w:r>
        <w:fldChar w:fldCharType="separate"/>
      </w:r>
      <w:proofErr w:type="gramStart"/>
      <w:r w:rsidR="00A87810" w:rsidRPr="00A87810">
        <w:rPr>
          <w:rStyle w:val="ad"/>
          <w:lang w:val="en-GB" w:eastAsia="en-GB"/>
        </w:rPr>
        <w:t>National Implementation Plans for the Stockholm Convention</w:t>
      </w:r>
      <w:r>
        <w:rPr>
          <w:rStyle w:val="ad"/>
          <w:lang w:val="en-GB" w:eastAsia="en-GB"/>
        </w:rPr>
        <w:fldChar w:fldCharType="end"/>
      </w:r>
      <w:r w:rsidR="00A87810" w:rsidRPr="00A87810">
        <w:rPr>
          <w:lang w:val="en-GB" w:eastAsia="en-GB"/>
        </w:rPr>
        <w:t>.</w:t>
      </w:r>
      <w:proofErr w:type="gramEnd"/>
      <w:r w:rsidR="00A87810" w:rsidRPr="00A87810">
        <w:rPr>
          <w:lang w:val="en-GB" w:eastAsia="en-GB"/>
        </w:rPr>
        <w:t xml:space="preserve"> </w:t>
      </w:r>
    </w:p>
    <w:p w14:paraId="01987F15" w14:textId="77777777" w:rsidR="00A87810" w:rsidRDefault="00A87810" w:rsidP="00A87810">
      <w:pPr>
        <w:pStyle w:val="a0"/>
        <w:rPr>
          <w:lang w:eastAsia="en-GB"/>
        </w:rPr>
      </w:pPr>
      <w:r w:rsidRPr="00A87810">
        <w:rPr>
          <w:lang w:eastAsia="en-GB"/>
        </w:rPr>
        <w:t xml:space="preserve">Соответствующие ссылки для </w:t>
      </w:r>
      <w:r w:rsidRPr="00A87810">
        <w:rPr>
          <w:b/>
          <w:lang w:eastAsia="en-GB"/>
        </w:rPr>
        <w:t>Минаматской конвенции</w:t>
      </w:r>
      <w:r w:rsidRPr="00A87810">
        <w:rPr>
          <w:lang w:eastAsia="en-GB"/>
        </w:rPr>
        <w:t>, относящиеся к этому показателю:</w:t>
      </w:r>
    </w:p>
    <w:p w14:paraId="139C1859" w14:textId="524FF7E8" w:rsidR="00A87810" w:rsidRPr="00A87810" w:rsidRDefault="003A5BF9" w:rsidP="00A87810">
      <w:pPr>
        <w:pStyle w:val="a0"/>
        <w:rPr>
          <w:lang w:val="en-US" w:eastAsia="en-GB"/>
        </w:rPr>
      </w:pPr>
      <w:r>
        <w:fldChar w:fldCharType="begin"/>
      </w:r>
      <w:r w:rsidRPr="003A5BF9">
        <w:rPr>
          <w:lang w:val="en-US"/>
        </w:rPr>
        <w:instrText xml:space="preserve"> HYPERLINK "https://www.mercuryconvention.org/en/parties/notifications" </w:instrText>
      </w:r>
      <w:r>
        <w:fldChar w:fldCharType="separate"/>
      </w:r>
      <w:r w:rsidR="00A87810" w:rsidRPr="00A87810">
        <w:rPr>
          <w:rStyle w:val="ad"/>
          <w:lang w:val="en-GB" w:eastAsia="en-GB"/>
        </w:rPr>
        <w:t>Notifications</w:t>
      </w:r>
      <w:r w:rsidR="00A87810" w:rsidRPr="00A87810">
        <w:rPr>
          <w:rStyle w:val="ad"/>
          <w:lang w:val="en-US" w:eastAsia="en-GB"/>
        </w:rPr>
        <w:t xml:space="preserve"> </w:t>
      </w:r>
      <w:r w:rsidR="00A87810" w:rsidRPr="00A87810">
        <w:rPr>
          <w:rStyle w:val="ad"/>
          <w:lang w:val="en-GB" w:eastAsia="en-GB"/>
        </w:rPr>
        <w:t>under</w:t>
      </w:r>
      <w:r w:rsidR="00A87810" w:rsidRPr="00A87810">
        <w:rPr>
          <w:rStyle w:val="ad"/>
          <w:lang w:val="en-US" w:eastAsia="en-GB"/>
        </w:rPr>
        <w:t xml:space="preserve"> </w:t>
      </w:r>
      <w:r w:rsidR="00A87810" w:rsidRPr="00A87810">
        <w:rPr>
          <w:rStyle w:val="ad"/>
          <w:lang w:val="en-GB" w:eastAsia="en-GB"/>
        </w:rPr>
        <w:t>the</w:t>
      </w:r>
      <w:r w:rsidR="00A87810" w:rsidRPr="00A87810">
        <w:rPr>
          <w:rStyle w:val="ad"/>
          <w:lang w:val="en-US" w:eastAsia="en-GB"/>
        </w:rPr>
        <w:t xml:space="preserve"> </w:t>
      </w:r>
      <w:proofErr w:type="spellStart"/>
      <w:r w:rsidR="00A87810" w:rsidRPr="00A87810">
        <w:rPr>
          <w:rStyle w:val="ad"/>
          <w:lang w:val="en-GB" w:eastAsia="en-GB"/>
        </w:rPr>
        <w:t>Minamata</w:t>
      </w:r>
      <w:proofErr w:type="spellEnd"/>
      <w:r w:rsidR="00A87810" w:rsidRPr="00A87810">
        <w:rPr>
          <w:rStyle w:val="ad"/>
          <w:lang w:val="en-US" w:eastAsia="en-GB"/>
        </w:rPr>
        <w:t xml:space="preserve"> </w:t>
      </w:r>
      <w:r w:rsidR="00A87810" w:rsidRPr="00A87810">
        <w:rPr>
          <w:rStyle w:val="ad"/>
          <w:lang w:val="en-GB" w:eastAsia="en-GB"/>
        </w:rPr>
        <w:t>Convention</w:t>
      </w:r>
      <w:r w:rsidR="00A87810" w:rsidRPr="00A87810">
        <w:rPr>
          <w:rStyle w:val="ad"/>
          <w:lang w:val="en-US" w:eastAsia="en-GB"/>
        </w:rPr>
        <w:t xml:space="preserve"> </w:t>
      </w:r>
      <w:r w:rsidR="00A87810" w:rsidRPr="00A87810">
        <w:rPr>
          <w:rStyle w:val="ad"/>
          <w:lang w:val="en-GB" w:eastAsia="en-GB"/>
        </w:rPr>
        <w:t>on</w:t>
      </w:r>
      <w:r w:rsidR="00A87810" w:rsidRPr="00A87810">
        <w:rPr>
          <w:rStyle w:val="ad"/>
          <w:lang w:val="en-US" w:eastAsia="en-GB"/>
        </w:rPr>
        <w:t xml:space="preserve"> </w:t>
      </w:r>
      <w:r w:rsidR="00A87810" w:rsidRPr="00A87810">
        <w:rPr>
          <w:rStyle w:val="ad"/>
          <w:lang w:val="en-GB" w:eastAsia="en-GB"/>
        </w:rPr>
        <w:t>Mercury</w:t>
      </w:r>
      <w:r>
        <w:rPr>
          <w:rStyle w:val="ad"/>
          <w:lang w:val="en-GB" w:eastAsia="en-GB"/>
        </w:rPr>
        <w:fldChar w:fldCharType="end"/>
      </w:r>
      <w:r w:rsidR="00A87810" w:rsidRPr="00A87810">
        <w:rPr>
          <w:lang w:val="en-US" w:eastAsia="en-GB"/>
        </w:rPr>
        <w:t xml:space="preserve">; </w:t>
      </w:r>
      <w:r>
        <w:fldChar w:fldCharType="begin"/>
      </w:r>
      <w:r w:rsidRPr="003A5BF9">
        <w:rPr>
          <w:lang w:val="en-US"/>
        </w:rPr>
        <w:instrText xml:space="preserve"> HYPERLINK </w:instrText>
      </w:r>
      <w:r>
        <w:fldChar w:fldCharType="separate"/>
      </w:r>
      <w:r>
        <w:fldChar w:fldCharType="end"/>
      </w:r>
      <w:r w:rsidR="00A87810" w:rsidRPr="00A87810">
        <w:rPr>
          <w:lang w:val="en-US" w:eastAsia="en-GB"/>
        </w:rPr>
        <w:t xml:space="preserve"> </w:t>
      </w:r>
    </w:p>
    <w:p w14:paraId="665EDAC2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7" w:history="1">
        <w:r w:rsidR="00A87810" w:rsidRPr="00A87810">
          <w:rPr>
            <w:rStyle w:val="ad"/>
            <w:lang w:val="en-GB" w:eastAsia="en-GB"/>
          </w:rPr>
          <w:t>National Focal Points</w:t>
        </w:r>
      </w:hyperlink>
      <w:r w:rsidR="00A87810" w:rsidRPr="00A87810">
        <w:rPr>
          <w:lang w:val="en-GB" w:eastAsia="en-GB"/>
        </w:rPr>
        <w:t xml:space="preserve">;  </w:t>
      </w:r>
    </w:p>
    <w:p w14:paraId="5FFB3FCF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8" w:history="1">
        <w:r w:rsidR="00A87810" w:rsidRPr="00A87810">
          <w:rPr>
            <w:rStyle w:val="ad"/>
            <w:lang w:val="en-GB" w:eastAsia="en-GB"/>
          </w:rPr>
          <w:t>National Reporting pursuant to Article 21</w:t>
        </w:r>
      </w:hyperlink>
      <w:r w:rsidR="00A87810" w:rsidRPr="00A87810">
        <w:rPr>
          <w:lang w:val="en-GB" w:eastAsia="en-GB"/>
        </w:rPr>
        <w:t xml:space="preserve">;  </w:t>
      </w:r>
    </w:p>
    <w:p w14:paraId="44CBC14A" w14:textId="77777777" w:rsidR="00A87810" w:rsidRPr="00A87810" w:rsidRDefault="003A5BF9" w:rsidP="00A87810">
      <w:pPr>
        <w:pStyle w:val="a0"/>
        <w:rPr>
          <w:lang w:val="en-GB" w:eastAsia="en-GB"/>
        </w:rPr>
      </w:pPr>
      <w:hyperlink r:id="rId49" w:history="1">
        <w:r w:rsidR="00A87810" w:rsidRPr="00A87810">
          <w:rPr>
            <w:rStyle w:val="ad"/>
            <w:lang w:val="en-GB" w:eastAsia="en-GB"/>
          </w:rPr>
          <w:t xml:space="preserve">UNEP/MC/COP.4/17 - Draft guidance for completing the national reporting format for the </w:t>
        </w:r>
        <w:proofErr w:type="spellStart"/>
        <w:r w:rsidR="00A87810" w:rsidRPr="00A87810">
          <w:rPr>
            <w:rStyle w:val="ad"/>
            <w:lang w:val="en-GB" w:eastAsia="en-GB"/>
          </w:rPr>
          <w:t>Minamata</w:t>
        </w:r>
        <w:proofErr w:type="spellEnd"/>
        <w:r w:rsidR="00A87810" w:rsidRPr="00A87810">
          <w:rPr>
            <w:rStyle w:val="ad"/>
            <w:lang w:val="en-GB" w:eastAsia="en-GB"/>
          </w:rPr>
          <w:t xml:space="preserve"> Convention on Mercury</w:t>
        </w:r>
      </w:hyperlink>
      <w:r w:rsidR="00A87810" w:rsidRPr="00A87810">
        <w:rPr>
          <w:lang w:val="en-GB" w:eastAsia="en-GB"/>
        </w:rPr>
        <w:t>;</w:t>
      </w:r>
    </w:p>
    <w:p w14:paraId="57C30C99" w14:textId="77777777" w:rsidR="00A87810" w:rsidRPr="006307AE" w:rsidRDefault="003A5BF9" w:rsidP="00A87810">
      <w:pPr>
        <w:pStyle w:val="a0"/>
        <w:rPr>
          <w:lang w:eastAsia="en-GB"/>
        </w:rPr>
      </w:pPr>
      <w:hyperlink r:id="rId50" w:history="1">
        <w:r w:rsidR="00A87810" w:rsidRPr="00A87810">
          <w:rPr>
            <w:rStyle w:val="ad"/>
            <w:lang w:val="en-GB" w:eastAsia="en-GB"/>
          </w:rPr>
          <w:t>Resources</w:t>
        </w:r>
      </w:hyperlink>
      <w:r w:rsidR="00A87810" w:rsidRPr="006307AE">
        <w:rPr>
          <w:lang w:eastAsia="en-GB"/>
        </w:rPr>
        <w:t xml:space="preserve">; </w:t>
      </w:r>
    </w:p>
    <w:p w14:paraId="2302B3C5" w14:textId="08621872" w:rsidR="00A87810" w:rsidRPr="00742FC6" w:rsidRDefault="003A5BF9" w:rsidP="00A87810">
      <w:pPr>
        <w:pStyle w:val="a0"/>
        <w:rPr>
          <w:lang w:eastAsia="en-GB"/>
        </w:rPr>
      </w:pPr>
      <w:hyperlink r:id="rId51" w:history="1">
        <w:proofErr w:type="gramStart"/>
        <w:r w:rsidR="00A87810" w:rsidRPr="00A87810">
          <w:rPr>
            <w:rStyle w:val="ad"/>
            <w:lang w:val="en-GB" w:eastAsia="en-GB"/>
          </w:rPr>
          <w:t>Online</w:t>
        </w:r>
        <w:r w:rsidR="00A87810" w:rsidRPr="006307AE">
          <w:rPr>
            <w:rStyle w:val="ad"/>
            <w:lang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Reporting</w:t>
        </w:r>
        <w:r w:rsidR="00A87810" w:rsidRPr="006307AE">
          <w:rPr>
            <w:rStyle w:val="ad"/>
            <w:lang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Tool</w:t>
        </w:r>
      </w:hyperlink>
      <w:r w:rsidR="00A87810" w:rsidRPr="006307AE">
        <w:rPr>
          <w:lang w:eastAsia="en-GB"/>
        </w:rPr>
        <w:t>.</w:t>
      </w:r>
      <w:proofErr w:type="gramEnd"/>
      <w:r w:rsidR="00A87810" w:rsidRPr="006307AE">
        <w:rPr>
          <w:lang w:eastAsia="en-GB"/>
        </w:rPr>
        <w:t xml:space="preserve"> </w:t>
      </w:r>
    </w:p>
    <w:p w14:paraId="26237A44" w14:textId="77777777" w:rsidR="00A87810" w:rsidRDefault="00A87810" w:rsidP="00A87810">
      <w:pPr>
        <w:pStyle w:val="a0"/>
        <w:rPr>
          <w:lang w:eastAsia="en-GB"/>
        </w:rPr>
      </w:pPr>
      <w:r w:rsidRPr="00A87810">
        <w:rPr>
          <w:lang w:eastAsia="en-GB"/>
        </w:rPr>
        <w:t xml:space="preserve">Для </w:t>
      </w:r>
      <w:proofErr w:type="spellStart"/>
      <w:r w:rsidRPr="00742FC6">
        <w:rPr>
          <w:b/>
          <w:lang w:eastAsia="en-GB"/>
        </w:rPr>
        <w:t>Монреальского</w:t>
      </w:r>
      <w:proofErr w:type="spellEnd"/>
      <w:r w:rsidRPr="00742FC6">
        <w:rPr>
          <w:b/>
          <w:lang w:eastAsia="en-GB"/>
        </w:rPr>
        <w:t xml:space="preserve"> протокола</w:t>
      </w:r>
      <w:r w:rsidRPr="00A87810">
        <w:rPr>
          <w:lang w:eastAsia="en-GB"/>
        </w:rPr>
        <w:t xml:space="preserve"> соответствующие ссылки можно найти на веб-сайте Секретариата по адресу:</w:t>
      </w:r>
    </w:p>
    <w:p w14:paraId="495112F0" w14:textId="3A1645B1" w:rsidR="00A87810" w:rsidRPr="00A87810" w:rsidRDefault="003A5BF9" w:rsidP="00A87810">
      <w:pPr>
        <w:pStyle w:val="a0"/>
        <w:rPr>
          <w:lang w:eastAsia="en-GB"/>
        </w:rPr>
      </w:pPr>
      <w:hyperlink r:id="rId52" w:history="1">
        <w:proofErr w:type="gramStart"/>
        <w:r w:rsidR="00A87810" w:rsidRPr="00A87810">
          <w:rPr>
            <w:rStyle w:val="ad"/>
            <w:lang w:val="en-GB" w:eastAsia="en-GB"/>
          </w:rPr>
          <w:t>The</w:t>
        </w:r>
        <w:r w:rsidR="00A87810" w:rsidRPr="00A87810">
          <w:rPr>
            <w:rStyle w:val="ad"/>
            <w:lang w:eastAsia="en-GB"/>
          </w:rPr>
          <w:t xml:space="preserve"> </w:t>
        </w:r>
        <w:proofErr w:type="spellStart"/>
        <w:r w:rsidR="00A87810" w:rsidRPr="00A87810">
          <w:rPr>
            <w:rStyle w:val="ad"/>
            <w:lang w:val="en-GB" w:eastAsia="en-GB"/>
          </w:rPr>
          <w:t>Ozon</w:t>
        </w:r>
        <w:proofErr w:type="spellEnd"/>
        <w:r w:rsidR="00A87810" w:rsidRPr="00A87810">
          <w:rPr>
            <w:rStyle w:val="ad"/>
            <w:lang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Secretariat</w:t>
        </w:r>
        <w:r w:rsidR="00A87810" w:rsidRPr="00A87810">
          <w:rPr>
            <w:rStyle w:val="ad"/>
            <w:lang w:eastAsia="en-GB"/>
          </w:rPr>
          <w:t xml:space="preserve"> </w:t>
        </w:r>
        <w:r w:rsidR="00A87810" w:rsidRPr="00A87810">
          <w:rPr>
            <w:rStyle w:val="ad"/>
            <w:lang w:val="en-GB" w:eastAsia="en-GB"/>
          </w:rPr>
          <w:t>webpage</w:t>
        </w:r>
      </w:hyperlink>
      <w:r w:rsidR="00A87810" w:rsidRPr="00A87810">
        <w:rPr>
          <w:lang w:eastAsia="en-GB"/>
        </w:rPr>
        <w:t>.</w:t>
      </w:r>
      <w:proofErr w:type="gramEnd"/>
      <w:r w:rsidR="00A87810" w:rsidRPr="00A87810">
        <w:rPr>
          <w:lang w:eastAsia="en-GB"/>
        </w:rPr>
        <w:t xml:space="preserve"> </w:t>
      </w:r>
    </w:p>
    <w:p w14:paraId="619F5B63" w14:textId="77777777" w:rsidR="00A87810" w:rsidRPr="00A87810" w:rsidRDefault="00A87810" w:rsidP="00A87810">
      <w:pPr>
        <w:pStyle w:val="a0"/>
        <w:rPr>
          <w:lang w:eastAsia="en-GB"/>
        </w:rPr>
      </w:pPr>
    </w:p>
    <w:sectPr w:rsidR="00A87810" w:rsidRPr="00A87810">
      <w:head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3816D" w14:textId="77777777" w:rsidR="004E18B8" w:rsidRDefault="004E18B8" w:rsidP="00F73DBC">
      <w:pPr>
        <w:spacing w:after="0" w:line="240" w:lineRule="auto"/>
      </w:pPr>
      <w:r>
        <w:separator/>
      </w:r>
    </w:p>
  </w:endnote>
  <w:endnote w:type="continuationSeparator" w:id="0">
    <w:p w14:paraId="394CE3BD" w14:textId="77777777" w:rsidR="004E18B8" w:rsidRDefault="004E18B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3147" w14:textId="77777777" w:rsidR="004E18B8" w:rsidRDefault="004E18B8" w:rsidP="00F73DBC">
      <w:pPr>
        <w:spacing w:after="0" w:line="240" w:lineRule="auto"/>
      </w:pPr>
      <w:r>
        <w:separator/>
      </w:r>
    </w:p>
  </w:footnote>
  <w:footnote w:type="continuationSeparator" w:id="0">
    <w:p w14:paraId="5D3BCBBD" w14:textId="77777777" w:rsidR="004E18B8" w:rsidRDefault="004E18B8" w:rsidP="00F73DBC">
      <w:pPr>
        <w:spacing w:after="0" w:line="240" w:lineRule="auto"/>
      </w:pPr>
      <w:r>
        <w:continuationSeparator/>
      </w:r>
    </w:p>
  </w:footnote>
  <w:footnote w:id="1">
    <w:p w14:paraId="580E721E" w14:textId="77777777" w:rsidR="00FE58DD" w:rsidRDefault="00FE58DD" w:rsidP="0018458D">
      <w:pPr>
        <w:pStyle w:val="a5"/>
      </w:pPr>
      <w:r w:rsidRPr="00734A55">
        <w:rPr>
          <w:rStyle w:val="a7"/>
        </w:rPr>
        <w:footnoteRef/>
      </w:r>
      <w:r w:rsidRPr="00734A55">
        <w:t xml:space="preserve"> </w:t>
      </w:r>
      <w:r w:rsidRPr="00734A55">
        <w:rPr>
          <w:rFonts w:cs="Times New Roman"/>
        </w:rPr>
        <w:t xml:space="preserve">Представленные ниже параметры основаны на обязательствах Сторон передавать информацию Секретариату, независимо от его национальных условий. Другая информация, которая должна быть сообщена Секретариату только на основе национальных условий, такая как: возможные национальные определения опасных отходов, возможные соглашения по статье 11 в рамках Базельской конвенции или возможные исключения в соответствии со Стокгольмской конвенцией, </w:t>
      </w:r>
      <w:r w:rsidRPr="00DC3AF0">
        <w:rPr>
          <w:rFonts w:cs="Times New Roman"/>
        </w:rPr>
        <w:t xml:space="preserve">– не будет включена, поскольку Секретариат не в состоянии оценить, реализовано ли обязательство по передаче информации, или Стороны воспользовались возможностью не пользоваться </w:t>
      </w:r>
      <w:r>
        <w:rPr>
          <w:rFonts w:cs="Times New Roman"/>
        </w:rPr>
        <w:t xml:space="preserve">этим </w:t>
      </w:r>
      <w:r w:rsidRPr="00DC3AF0">
        <w:rPr>
          <w:rFonts w:cs="Times New Roman"/>
        </w:rPr>
        <w:t>правом.</w:t>
      </w:r>
    </w:p>
  </w:footnote>
  <w:footnote w:id="2">
    <w:p w14:paraId="24A57F8F" w14:textId="27BF8442" w:rsidR="00FE58DD" w:rsidRDefault="00FE58DD">
      <w:pPr>
        <w:pStyle w:val="a5"/>
      </w:pPr>
      <w:r>
        <w:rPr>
          <w:rStyle w:val="a7"/>
        </w:rPr>
        <w:footnoteRef/>
      </w:r>
      <w:r>
        <w:t xml:space="preserve"> </w:t>
      </w:r>
      <w:r w:rsidRPr="000E7EE5">
        <w:t xml:space="preserve">Ответ </w:t>
      </w:r>
      <w:r>
        <w:t>по</w:t>
      </w:r>
      <w:r w:rsidRPr="000E7EE5">
        <w:t xml:space="preserve"> импорт</w:t>
      </w:r>
      <w:r>
        <w:t>у</w:t>
      </w:r>
      <w:r w:rsidRPr="000E7EE5">
        <w:t xml:space="preserve"> может состоять из предварительного ответа, который не обязательно является решением, см., например, статью 10(4)(b)(</w:t>
      </w:r>
      <w:proofErr w:type="spellStart"/>
      <w:r w:rsidRPr="000E7EE5">
        <w:t>ii</w:t>
      </w:r>
      <w:proofErr w:type="spellEnd"/>
      <w:r w:rsidRPr="000E7EE5">
        <w:t>)-(</w:t>
      </w:r>
      <w:proofErr w:type="spellStart"/>
      <w:r w:rsidRPr="000E7EE5">
        <w:t>iv</w:t>
      </w:r>
      <w:proofErr w:type="spellEnd"/>
      <w:r w:rsidRPr="000E7EE5">
        <w:t>).</w:t>
      </w:r>
    </w:p>
  </w:footnote>
  <w:footnote w:id="3">
    <w:p w14:paraId="3D3CD9AA" w14:textId="77777777" w:rsidR="00FE58DD" w:rsidRPr="00F63007" w:rsidRDefault="00FE58DD" w:rsidP="004F3B53">
      <w:pPr>
        <w:pStyle w:val="a5"/>
        <w:rPr>
          <w:highlight w:val="yellow"/>
        </w:rPr>
      </w:pPr>
      <w:r w:rsidRPr="00F17D78">
        <w:rPr>
          <w:rStyle w:val="a7"/>
        </w:rPr>
        <w:footnoteRef/>
      </w:r>
      <w:r w:rsidRPr="00F17D78">
        <w:t xml:space="preserve"> </w:t>
      </w:r>
      <w:r w:rsidRPr="00F17D78">
        <w:rPr>
          <w:rFonts w:cs="Times New Roman"/>
        </w:rPr>
        <w:t>Применимо к Сторонам, для которых обязательны поправки к Стокгольмской конвенции. Стороны, не связанные с поправками, по умолчанию получат по одному баллу за каждую такую поправку.</w:t>
      </w:r>
    </w:p>
  </w:footnote>
  <w:footnote w:id="4">
    <w:p w14:paraId="627736C2" w14:textId="77777777" w:rsidR="00FE58DD" w:rsidRDefault="00FE58DD" w:rsidP="004F3B53">
      <w:pPr>
        <w:pStyle w:val="a5"/>
      </w:pPr>
      <w:r w:rsidRPr="00CE6BDE">
        <w:rPr>
          <w:rStyle w:val="a7"/>
        </w:rPr>
        <w:footnoteRef/>
      </w:r>
      <w:r w:rsidRPr="00CE6BDE">
        <w:t xml:space="preserve"> </w:t>
      </w:r>
      <w:r w:rsidRPr="00CE6BDE">
        <w:rPr>
          <w:rFonts w:cs="Times New Roman"/>
        </w:rPr>
        <w:t>Обратите внимание, что на данный момент данные не доступны для Минаматской конвенции. Сроки представления отчетности еще не определены.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DB8A" w14:textId="77777777" w:rsidR="00FE58DD" w:rsidRDefault="00FE58DD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4EC835EB" w14:textId="61C3AE77" w:rsidR="00FE58DD" w:rsidRPr="009508D1" w:rsidRDefault="00FE58DD" w:rsidP="009508D1">
    <w:pPr>
      <w:pStyle w:val="af"/>
      <w:jc w:val="right"/>
    </w:pPr>
    <w:r>
      <w:t xml:space="preserve">Последнее обновление: </w:t>
    </w:r>
    <w:r w:rsidR="003A5BF9">
      <w:t>август</w:t>
    </w:r>
    <w:r>
      <w:t xml:space="preserve"> 2023</w:t>
    </w:r>
  </w:p>
  <w:p w14:paraId="71C94AB7" w14:textId="77777777" w:rsidR="00FE58DD" w:rsidRDefault="00FE58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0EC"/>
    <w:multiLevelType w:val="hybridMultilevel"/>
    <w:tmpl w:val="F80E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BED"/>
    <w:multiLevelType w:val="hybridMultilevel"/>
    <w:tmpl w:val="D7D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670"/>
    <w:multiLevelType w:val="hybridMultilevel"/>
    <w:tmpl w:val="BA14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74FA"/>
    <w:multiLevelType w:val="hybridMultilevel"/>
    <w:tmpl w:val="A0A4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9F7"/>
    <w:multiLevelType w:val="hybridMultilevel"/>
    <w:tmpl w:val="9FD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7C5B"/>
    <w:multiLevelType w:val="hybridMultilevel"/>
    <w:tmpl w:val="0C32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61E7"/>
    <w:multiLevelType w:val="hybridMultilevel"/>
    <w:tmpl w:val="D3C2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6795"/>
    <w:multiLevelType w:val="hybridMultilevel"/>
    <w:tmpl w:val="351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27EB"/>
    <w:multiLevelType w:val="hybridMultilevel"/>
    <w:tmpl w:val="6D1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3170"/>
    <w:multiLevelType w:val="hybridMultilevel"/>
    <w:tmpl w:val="3428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5BBD"/>
    <w:multiLevelType w:val="hybridMultilevel"/>
    <w:tmpl w:val="4168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9233F"/>
    <w:multiLevelType w:val="hybridMultilevel"/>
    <w:tmpl w:val="D4A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511FA"/>
    <w:multiLevelType w:val="hybridMultilevel"/>
    <w:tmpl w:val="F86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1A47"/>
    <w:multiLevelType w:val="hybridMultilevel"/>
    <w:tmpl w:val="72F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42C8"/>
    <w:multiLevelType w:val="hybridMultilevel"/>
    <w:tmpl w:val="6EC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84FFA"/>
    <w:multiLevelType w:val="hybridMultilevel"/>
    <w:tmpl w:val="351E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84A50"/>
    <w:multiLevelType w:val="hybridMultilevel"/>
    <w:tmpl w:val="B5C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70E"/>
    <w:multiLevelType w:val="hybridMultilevel"/>
    <w:tmpl w:val="6DA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72162"/>
    <w:multiLevelType w:val="hybridMultilevel"/>
    <w:tmpl w:val="762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C5BA1"/>
    <w:multiLevelType w:val="hybridMultilevel"/>
    <w:tmpl w:val="91A4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70293"/>
    <w:multiLevelType w:val="hybridMultilevel"/>
    <w:tmpl w:val="F0B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34FFB"/>
    <w:multiLevelType w:val="hybridMultilevel"/>
    <w:tmpl w:val="3428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7560A"/>
    <w:multiLevelType w:val="hybridMultilevel"/>
    <w:tmpl w:val="A1D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0B85"/>
    <w:multiLevelType w:val="hybridMultilevel"/>
    <w:tmpl w:val="45A8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7"/>
  </w:num>
  <w:num w:numId="5">
    <w:abstractNumId w:val="12"/>
  </w:num>
  <w:num w:numId="6">
    <w:abstractNumId w:val="22"/>
  </w:num>
  <w:num w:numId="7">
    <w:abstractNumId w:val="1"/>
  </w:num>
  <w:num w:numId="8">
    <w:abstractNumId w:val="19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3"/>
  </w:num>
  <w:num w:numId="15">
    <w:abstractNumId w:val="2"/>
  </w:num>
  <w:num w:numId="16">
    <w:abstractNumId w:val="5"/>
  </w:num>
  <w:num w:numId="17">
    <w:abstractNumId w:val="15"/>
  </w:num>
  <w:num w:numId="18">
    <w:abstractNumId w:val="23"/>
  </w:num>
  <w:num w:numId="19">
    <w:abstractNumId w:val="10"/>
  </w:num>
  <w:num w:numId="20">
    <w:abstractNumId w:val="7"/>
  </w:num>
  <w:num w:numId="21">
    <w:abstractNumId w:val="11"/>
  </w:num>
  <w:num w:numId="22">
    <w:abstractNumId w:val="16"/>
  </w:num>
  <w:num w:numId="23">
    <w:abstractNumId w:val="18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1D8B"/>
    <w:rsid w:val="00006140"/>
    <w:rsid w:val="00017B67"/>
    <w:rsid w:val="00030BF5"/>
    <w:rsid w:val="00032707"/>
    <w:rsid w:val="00040034"/>
    <w:rsid w:val="0004196A"/>
    <w:rsid w:val="000431F7"/>
    <w:rsid w:val="000451B2"/>
    <w:rsid w:val="00053D20"/>
    <w:rsid w:val="00062184"/>
    <w:rsid w:val="00064E23"/>
    <w:rsid w:val="00066024"/>
    <w:rsid w:val="00067E3E"/>
    <w:rsid w:val="00080FD3"/>
    <w:rsid w:val="00083DC3"/>
    <w:rsid w:val="0008593B"/>
    <w:rsid w:val="000A210D"/>
    <w:rsid w:val="000A229E"/>
    <w:rsid w:val="000A47E6"/>
    <w:rsid w:val="000A6836"/>
    <w:rsid w:val="000B2991"/>
    <w:rsid w:val="000C224E"/>
    <w:rsid w:val="000E666A"/>
    <w:rsid w:val="000E7EE5"/>
    <w:rsid w:val="000F1B14"/>
    <w:rsid w:val="000F7BFD"/>
    <w:rsid w:val="00104284"/>
    <w:rsid w:val="00110FE3"/>
    <w:rsid w:val="0011581A"/>
    <w:rsid w:val="00116248"/>
    <w:rsid w:val="00120E95"/>
    <w:rsid w:val="00122608"/>
    <w:rsid w:val="001269B1"/>
    <w:rsid w:val="00130169"/>
    <w:rsid w:val="00133E22"/>
    <w:rsid w:val="001373EA"/>
    <w:rsid w:val="00146B30"/>
    <w:rsid w:val="00146FDC"/>
    <w:rsid w:val="001470A2"/>
    <w:rsid w:val="00147D02"/>
    <w:rsid w:val="001505DD"/>
    <w:rsid w:val="00151C00"/>
    <w:rsid w:val="00154807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1D5E"/>
    <w:rsid w:val="0020339C"/>
    <w:rsid w:val="00220DFC"/>
    <w:rsid w:val="00235C73"/>
    <w:rsid w:val="00237F5C"/>
    <w:rsid w:val="002451DF"/>
    <w:rsid w:val="00253365"/>
    <w:rsid w:val="002540B1"/>
    <w:rsid w:val="00263E57"/>
    <w:rsid w:val="002712B1"/>
    <w:rsid w:val="00280F4B"/>
    <w:rsid w:val="00281BD8"/>
    <w:rsid w:val="00284CD0"/>
    <w:rsid w:val="0028588B"/>
    <w:rsid w:val="00287B43"/>
    <w:rsid w:val="00290B8E"/>
    <w:rsid w:val="002B2508"/>
    <w:rsid w:val="002D1D7E"/>
    <w:rsid w:val="002D52DB"/>
    <w:rsid w:val="002D5C8B"/>
    <w:rsid w:val="002D608A"/>
    <w:rsid w:val="002D669D"/>
    <w:rsid w:val="002E07D4"/>
    <w:rsid w:val="002E122C"/>
    <w:rsid w:val="002E15F9"/>
    <w:rsid w:val="002E2DAB"/>
    <w:rsid w:val="002F129C"/>
    <w:rsid w:val="002F63E5"/>
    <w:rsid w:val="00303D71"/>
    <w:rsid w:val="003143BC"/>
    <w:rsid w:val="0033217F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82D66"/>
    <w:rsid w:val="00390633"/>
    <w:rsid w:val="00391BC8"/>
    <w:rsid w:val="00393B97"/>
    <w:rsid w:val="00394222"/>
    <w:rsid w:val="00397764"/>
    <w:rsid w:val="003A389C"/>
    <w:rsid w:val="003A5BF9"/>
    <w:rsid w:val="003B2CF2"/>
    <w:rsid w:val="003B340F"/>
    <w:rsid w:val="003B6975"/>
    <w:rsid w:val="003D1097"/>
    <w:rsid w:val="003E03CC"/>
    <w:rsid w:val="003E6C49"/>
    <w:rsid w:val="003F6D98"/>
    <w:rsid w:val="004013D3"/>
    <w:rsid w:val="0040409D"/>
    <w:rsid w:val="0040583C"/>
    <w:rsid w:val="004066A3"/>
    <w:rsid w:val="00407E4E"/>
    <w:rsid w:val="00411D24"/>
    <w:rsid w:val="004143B4"/>
    <w:rsid w:val="00422DE3"/>
    <w:rsid w:val="004265CD"/>
    <w:rsid w:val="00426CA4"/>
    <w:rsid w:val="0042734C"/>
    <w:rsid w:val="00436030"/>
    <w:rsid w:val="00445D1C"/>
    <w:rsid w:val="004465D9"/>
    <w:rsid w:val="00446A24"/>
    <w:rsid w:val="0045312F"/>
    <w:rsid w:val="00453CF8"/>
    <w:rsid w:val="00461079"/>
    <w:rsid w:val="00465587"/>
    <w:rsid w:val="00480D4F"/>
    <w:rsid w:val="0049008B"/>
    <w:rsid w:val="004A02F7"/>
    <w:rsid w:val="004A1820"/>
    <w:rsid w:val="004A20F3"/>
    <w:rsid w:val="004A7876"/>
    <w:rsid w:val="004B638C"/>
    <w:rsid w:val="004B6FA0"/>
    <w:rsid w:val="004B738E"/>
    <w:rsid w:val="004D283B"/>
    <w:rsid w:val="004D737D"/>
    <w:rsid w:val="004D77A5"/>
    <w:rsid w:val="004E087E"/>
    <w:rsid w:val="004E18B8"/>
    <w:rsid w:val="004F2A6F"/>
    <w:rsid w:val="004F3B53"/>
    <w:rsid w:val="004F631B"/>
    <w:rsid w:val="00503093"/>
    <w:rsid w:val="00504CD2"/>
    <w:rsid w:val="005057DC"/>
    <w:rsid w:val="005126D2"/>
    <w:rsid w:val="00514C74"/>
    <w:rsid w:val="00521EA9"/>
    <w:rsid w:val="005220B0"/>
    <w:rsid w:val="00527B82"/>
    <w:rsid w:val="0054080F"/>
    <w:rsid w:val="00543050"/>
    <w:rsid w:val="00544232"/>
    <w:rsid w:val="00546D3E"/>
    <w:rsid w:val="00547B1F"/>
    <w:rsid w:val="00547F84"/>
    <w:rsid w:val="0055472B"/>
    <w:rsid w:val="00562B74"/>
    <w:rsid w:val="005640D9"/>
    <w:rsid w:val="0056571B"/>
    <w:rsid w:val="00570C78"/>
    <w:rsid w:val="00577C9B"/>
    <w:rsid w:val="0058498B"/>
    <w:rsid w:val="0059042F"/>
    <w:rsid w:val="00590845"/>
    <w:rsid w:val="00594963"/>
    <w:rsid w:val="005973EF"/>
    <w:rsid w:val="005974D1"/>
    <w:rsid w:val="005A0EA5"/>
    <w:rsid w:val="005B0932"/>
    <w:rsid w:val="005B0DB3"/>
    <w:rsid w:val="005C123D"/>
    <w:rsid w:val="005D13FA"/>
    <w:rsid w:val="005E2ABC"/>
    <w:rsid w:val="005E47BD"/>
    <w:rsid w:val="005F5D78"/>
    <w:rsid w:val="006043BD"/>
    <w:rsid w:val="00607915"/>
    <w:rsid w:val="006120E1"/>
    <w:rsid w:val="0062185F"/>
    <w:rsid w:val="00622336"/>
    <w:rsid w:val="00623607"/>
    <w:rsid w:val="006307AE"/>
    <w:rsid w:val="006308D5"/>
    <w:rsid w:val="006313E5"/>
    <w:rsid w:val="006316D6"/>
    <w:rsid w:val="0063184D"/>
    <w:rsid w:val="00637B19"/>
    <w:rsid w:val="00642663"/>
    <w:rsid w:val="00647C5F"/>
    <w:rsid w:val="0065315C"/>
    <w:rsid w:val="00654380"/>
    <w:rsid w:val="00664789"/>
    <w:rsid w:val="006677B0"/>
    <w:rsid w:val="00670C21"/>
    <w:rsid w:val="00670E26"/>
    <w:rsid w:val="006763D1"/>
    <w:rsid w:val="00676DE5"/>
    <w:rsid w:val="00693A10"/>
    <w:rsid w:val="00694160"/>
    <w:rsid w:val="006942B8"/>
    <w:rsid w:val="00696D77"/>
    <w:rsid w:val="006B260E"/>
    <w:rsid w:val="006B3939"/>
    <w:rsid w:val="006C014C"/>
    <w:rsid w:val="006C0984"/>
    <w:rsid w:val="006C10F0"/>
    <w:rsid w:val="006C385B"/>
    <w:rsid w:val="006C3901"/>
    <w:rsid w:val="006D7049"/>
    <w:rsid w:val="006E66FC"/>
    <w:rsid w:val="006F0565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32ABD"/>
    <w:rsid w:val="00742FC6"/>
    <w:rsid w:val="0075349F"/>
    <w:rsid w:val="0075371E"/>
    <w:rsid w:val="00766689"/>
    <w:rsid w:val="00771DC9"/>
    <w:rsid w:val="00776AC2"/>
    <w:rsid w:val="00780F08"/>
    <w:rsid w:val="0078233F"/>
    <w:rsid w:val="0078726E"/>
    <w:rsid w:val="00790095"/>
    <w:rsid w:val="0079089B"/>
    <w:rsid w:val="00791F1F"/>
    <w:rsid w:val="007B0CFD"/>
    <w:rsid w:val="007B0D42"/>
    <w:rsid w:val="007B2227"/>
    <w:rsid w:val="007B2AB3"/>
    <w:rsid w:val="007B5501"/>
    <w:rsid w:val="007C27E0"/>
    <w:rsid w:val="007C6471"/>
    <w:rsid w:val="007C6FBC"/>
    <w:rsid w:val="007D1185"/>
    <w:rsid w:val="007D2576"/>
    <w:rsid w:val="007D49DE"/>
    <w:rsid w:val="007D4F45"/>
    <w:rsid w:val="007D5E35"/>
    <w:rsid w:val="007E2BA4"/>
    <w:rsid w:val="007E6317"/>
    <w:rsid w:val="007F7F50"/>
    <w:rsid w:val="0080135E"/>
    <w:rsid w:val="00803783"/>
    <w:rsid w:val="00804196"/>
    <w:rsid w:val="00807A22"/>
    <w:rsid w:val="0081063C"/>
    <w:rsid w:val="0081130B"/>
    <w:rsid w:val="0082082A"/>
    <w:rsid w:val="00845FE2"/>
    <w:rsid w:val="008501F4"/>
    <w:rsid w:val="0085248F"/>
    <w:rsid w:val="00853C09"/>
    <w:rsid w:val="008616D9"/>
    <w:rsid w:val="00865164"/>
    <w:rsid w:val="0087089B"/>
    <w:rsid w:val="008715E9"/>
    <w:rsid w:val="008751C8"/>
    <w:rsid w:val="00882128"/>
    <w:rsid w:val="00883D97"/>
    <w:rsid w:val="0089043A"/>
    <w:rsid w:val="00896D91"/>
    <w:rsid w:val="008A3A19"/>
    <w:rsid w:val="008A7431"/>
    <w:rsid w:val="008B47E0"/>
    <w:rsid w:val="008C01EA"/>
    <w:rsid w:val="008C7B00"/>
    <w:rsid w:val="008D0139"/>
    <w:rsid w:val="008E440E"/>
    <w:rsid w:val="008F5301"/>
    <w:rsid w:val="008F67BA"/>
    <w:rsid w:val="008F785F"/>
    <w:rsid w:val="00900860"/>
    <w:rsid w:val="00912783"/>
    <w:rsid w:val="00916753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2661"/>
    <w:rsid w:val="0095361E"/>
    <w:rsid w:val="009558D8"/>
    <w:rsid w:val="00957712"/>
    <w:rsid w:val="00957A62"/>
    <w:rsid w:val="00961D95"/>
    <w:rsid w:val="00961E2C"/>
    <w:rsid w:val="00964BE9"/>
    <w:rsid w:val="00980F79"/>
    <w:rsid w:val="00983CEB"/>
    <w:rsid w:val="009843DD"/>
    <w:rsid w:val="00986D0B"/>
    <w:rsid w:val="00990634"/>
    <w:rsid w:val="0099171D"/>
    <w:rsid w:val="009917DD"/>
    <w:rsid w:val="00994445"/>
    <w:rsid w:val="00995788"/>
    <w:rsid w:val="009A2208"/>
    <w:rsid w:val="009B3820"/>
    <w:rsid w:val="009B6CB3"/>
    <w:rsid w:val="009B7206"/>
    <w:rsid w:val="009B78A2"/>
    <w:rsid w:val="009C4794"/>
    <w:rsid w:val="009D078D"/>
    <w:rsid w:val="009D31AD"/>
    <w:rsid w:val="009D67EF"/>
    <w:rsid w:val="009E707C"/>
    <w:rsid w:val="009F0769"/>
    <w:rsid w:val="009F2CE2"/>
    <w:rsid w:val="009F4A17"/>
    <w:rsid w:val="00A06695"/>
    <w:rsid w:val="00A068C3"/>
    <w:rsid w:val="00A1299E"/>
    <w:rsid w:val="00A149F5"/>
    <w:rsid w:val="00A248E2"/>
    <w:rsid w:val="00A24A5B"/>
    <w:rsid w:val="00A3418B"/>
    <w:rsid w:val="00A343D5"/>
    <w:rsid w:val="00A37CB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76060"/>
    <w:rsid w:val="00A801E8"/>
    <w:rsid w:val="00A82A69"/>
    <w:rsid w:val="00A8435E"/>
    <w:rsid w:val="00A8462E"/>
    <w:rsid w:val="00A87810"/>
    <w:rsid w:val="00A91FDE"/>
    <w:rsid w:val="00AC112C"/>
    <w:rsid w:val="00AC1BF5"/>
    <w:rsid w:val="00AD7DC3"/>
    <w:rsid w:val="00AF0135"/>
    <w:rsid w:val="00AF331B"/>
    <w:rsid w:val="00AF3B1B"/>
    <w:rsid w:val="00B0378B"/>
    <w:rsid w:val="00B179C9"/>
    <w:rsid w:val="00B17F13"/>
    <w:rsid w:val="00B27F6B"/>
    <w:rsid w:val="00B30158"/>
    <w:rsid w:val="00B43A46"/>
    <w:rsid w:val="00B51994"/>
    <w:rsid w:val="00B51BC3"/>
    <w:rsid w:val="00B62ECD"/>
    <w:rsid w:val="00B70499"/>
    <w:rsid w:val="00B723A8"/>
    <w:rsid w:val="00B72F77"/>
    <w:rsid w:val="00B74C82"/>
    <w:rsid w:val="00B8481C"/>
    <w:rsid w:val="00B973EA"/>
    <w:rsid w:val="00BA05C5"/>
    <w:rsid w:val="00BA297F"/>
    <w:rsid w:val="00BA49DB"/>
    <w:rsid w:val="00BA61D3"/>
    <w:rsid w:val="00BC622F"/>
    <w:rsid w:val="00BC6BB7"/>
    <w:rsid w:val="00BC72C0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4761"/>
    <w:rsid w:val="00C25229"/>
    <w:rsid w:val="00C25308"/>
    <w:rsid w:val="00C25F50"/>
    <w:rsid w:val="00C34D1D"/>
    <w:rsid w:val="00C536F5"/>
    <w:rsid w:val="00C577EF"/>
    <w:rsid w:val="00C638CE"/>
    <w:rsid w:val="00C645C4"/>
    <w:rsid w:val="00C66AB0"/>
    <w:rsid w:val="00C74767"/>
    <w:rsid w:val="00C772FD"/>
    <w:rsid w:val="00C83435"/>
    <w:rsid w:val="00C837A5"/>
    <w:rsid w:val="00C8596F"/>
    <w:rsid w:val="00C861BA"/>
    <w:rsid w:val="00C909FE"/>
    <w:rsid w:val="00C921C5"/>
    <w:rsid w:val="00C9405C"/>
    <w:rsid w:val="00C95868"/>
    <w:rsid w:val="00C9679B"/>
    <w:rsid w:val="00C96C28"/>
    <w:rsid w:val="00CA05F5"/>
    <w:rsid w:val="00CA1CB1"/>
    <w:rsid w:val="00CA46C2"/>
    <w:rsid w:val="00CA62D0"/>
    <w:rsid w:val="00CB26D5"/>
    <w:rsid w:val="00CC1B0F"/>
    <w:rsid w:val="00CC7C58"/>
    <w:rsid w:val="00CD0810"/>
    <w:rsid w:val="00CD238E"/>
    <w:rsid w:val="00CE0762"/>
    <w:rsid w:val="00CF1BCB"/>
    <w:rsid w:val="00CF2434"/>
    <w:rsid w:val="00CF4649"/>
    <w:rsid w:val="00CF7625"/>
    <w:rsid w:val="00D006C1"/>
    <w:rsid w:val="00D00707"/>
    <w:rsid w:val="00D00F28"/>
    <w:rsid w:val="00D0507C"/>
    <w:rsid w:val="00D05466"/>
    <w:rsid w:val="00D1082C"/>
    <w:rsid w:val="00D122C0"/>
    <w:rsid w:val="00D15CDC"/>
    <w:rsid w:val="00D218D8"/>
    <w:rsid w:val="00D27196"/>
    <w:rsid w:val="00D273C6"/>
    <w:rsid w:val="00D31F63"/>
    <w:rsid w:val="00D40E85"/>
    <w:rsid w:val="00D427B9"/>
    <w:rsid w:val="00D50F75"/>
    <w:rsid w:val="00D51C14"/>
    <w:rsid w:val="00D54600"/>
    <w:rsid w:val="00D560A1"/>
    <w:rsid w:val="00D566E6"/>
    <w:rsid w:val="00D604B3"/>
    <w:rsid w:val="00D62DD3"/>
    <w:rsid w:val="00D636C1"/>
    <w:rsid w:val="00D644B9"/>
    <w:rsid w:val="00D64852"/>
    <w:rsid w:val="00D65C2C"/>
    <w:rsid w:val="00D65EF2"/>
    <w:rsid w:val="00D71A86"/>
    <w:rsid w:val="00D76CA2"/>
    <w:rsid w:val="00D80BC2"/>
    <w:rsid w:val="00D91D5D"/>
    <w:rsid w:val="00DB3A18"/>
    <w:rsid w:val="00DB5508"/>
    <w:rsid w:val="00DB5552"/>
    <w:rsid w:val="00DB5BEB"/>
    <w:rsid w:val="00DB7209"/>
    <w:rsid w:val="00DD4453"/>
    <w:rsid w:val="00DD45F3"/>
    <w:rsid w:val="00DE0C01"/>
    <w:rsid w:val="00DE2202"/>
    <w:rsid w:val="00DE5549"/>
    <w:rsid w:val="00DE6112"/>
    <w:rsid w:val="00DF23C1"/>
    <w:rsid w:val="00DF7ADB"/>
    <w:rsid w:val="00E03A66"/>
    <w:rsid w:val="00E056D5"/>
    <w:rsid w:val="00E156E0"/>
    <w:rsid w:val="00E1711B"/>
    <w:rsid w:val="00E206E6"/>
    <w:rsid w:val="00E21B43"/>
    <w:rsid w:val="00E22DA5"/>
    <w:rsid w:val="00E27922"/>
    <w:rsid w:val="00E33CA8"/>
    <w:rsid w:val="00E36AFE"/>
    <w:rsid w:val="00E377B5"/>
    <w:rsid w:val="00E419D0"/>
    <w:rsid w:val="00E41A7D"/>
    <w:rsid w:val="00E55C4C"/>
    <w:rsid w:val="00E600CA"/>
    <w:rsid w:val="00E679F7"/>
    <w:rsid w:val="00E71615"/>
    <w:rsid w:val="00E7596B"/>
    <w:rsid w:val="00E834AD"/>
    <w:rsid w:val="00E83733"/>
    <w:rsid w:val="00E83B07"/>
    <w:rsid w:val="00E90BD4"/>
    <w:rsid w:val="00E97471"/>
    <w:rsid w:val="00EA3BF3"/>
    <w:rsid w:val="00EA60C7"/>
    <w:rsid w:val="00EB1910"/>
    <w:rsid w:val="00EB389E"/>
    <w:rsid w:val="00EB4CBB"/>
    <w:rsid w:val="00EB6F90"/>
    <w:rsid w:val="00EC3F04"/>
    <w:rsid w:val="00EC6F78"/>
    <w:rsid w:val="00EE1A8B"/>
    <w:rsid w:val="00EE3914"/>
    <w:rsid w:val="00EE3BB4"/>
    <w:rsid w:val="00EE3C6C"/>
    <w:rsid w:val="00EF3886"/>
    <w:rsid w:val="00EF47D7"/>
    <w:rsid w:val="00F03521"/>
    <w:rsid w:val="00F14A3A"/>
    <w:rsid w:val="00F17015"/>
    <w:rsid w:val="00F17CC3"/>
    <w:rsid w:val="00F30F68"/>
    <w:rsid w:val="00F31D49"/>
    <w:rsid w:val="00F44343"/>
    <w:rsid w:val="00F46260"/>
    <w:rsid w:val="00F532A2"/>
    <w:rsid w:val="00F56853"/>
    <w:rsid w:val="00F5750A"/>
    <w:rsid w:val="00F6371F"/>
    <w:rsid w:val="00F66E7B"/>
    <w:rsid w:val="00F73DBC"/>
    <w:rsid w:val="00F84FF1"/>
    <w:rsid w:val="00F940D0"/>
    <w:rsid w:val="00F94114"/>
    <w:rsid w:val="00F947E9"/>
    <w:rsid w:val="00F9714C"/>
    <w:rsid w:val="00FD23B9"/>
    <w:rsid w:val="00FD5FEC"/>
    <w:rsid w:val="00FE175E"/>
    <w:rsid w:val="00FE35CF"/>
    <w:rsid w:val="00FE53A5"/>
    <w:rsid w:val="00FE58DD"/>
    <w:rsid w:val="00FE7051"/>
    <w:rsid w:val="00FE734E"/>
    <w:rsid w:val="00FE79B4"/>
    <w:rsid w:val="00FE7F68"/>
    <w:rsid w:val="00FF48F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C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900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90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zone.unep.org/list-of-implementation-committee-recommendations" TargetMode="External"/><Relationship Id="rId18" Type="http://schemas.openxmlformats.org/officeDocument/2006/relationships/hyperlink" Target="http://www.pic.int/Implementation/PICCircular/tabid/1168/language/en-US/Default.aspx" TargetMode="External"/><Relationship Id="rId26" Type="http://schemas.openxmlformats.org/officeDocument/2006/relationships/hyperlink" Target="http://www.basel.int/Procedures/CompetentAuthorities/tabid/1324/Default.aspx" TargetMode="External"/><Relationship Id="rId39" Type="http://schemas.openxmlformats.org/officeDocument/2006/relationships/hyperlink" Target="http://www.brsmeas.org/Implementation/SustainableDevelopmentGoals/Overview/tabid/8490/language/en-US/Default.aspx" TargetMode="External"/><Relationship Id="rId21" Type="http://schemas.openxmlformats.org/officeDocument/2006/relationships/hyperlink" Target="http://chm.pops.int/Implementation/NationalImplementationPlans/NIPTransmission/tabid/253/Default.aspx" TargetMode="External"/><Relationship Id="rId34" Type="http://schemas.openxmlformats.org/officeDocument/2006/relationships/hyperlink" Target="http://chm.pops.int/Implementation/NationalImplementationPlans/Guidance/tabid/7730/Default.aspx" TargetMode="External"/><Relationship Id="rId42" Type="http://schemas.openxmlformats.org/officeDocument/2006/relationships/hyperlink" Target="http://chm.pops.int/Countries/CountryContacts/tabid/304/Default.aspx" TargetMode="External"/><Relationship Id="rId47" Type="http://schemas.openxmlformats.org/officeDocument/2006/relationships/hyperlink" Target="https://www.mercuryconvention.org/en/parties/focal-points" TargetMode="External"/><Relationship Id="rId50" Type="http://schemas.openxmlformats.org/officeDocument/2006/relationships/hyperlink" Target="https://www.mercuryconvention.org/en/resources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hm.pops.int/Countries/CountryContacts/tabid/304/Default.aspx" TargetMode="External"/><Relationship Id="rId29" Type="http://schemas.openxmlformats.org/officeDocument/2006/relationships/hyperlink" Target="http://www.pic.int/Procedures/DesignatedNationalAuthorities/tabid/1366/language/en-%20&#1057;&#1064;&#1040;%20/%20Default.aspx" TargetMode="External"/><Relationship Id="rId11" Type="http://schemas.openxmlformats.org/officeDocument/2006/relationships/hyperlink" Target="http://chm.pops.int/Portals/0/download.aspx?d=UNEP-POPS-COP.2-SC-2-16.English.PDF" TargetMode="External"/><Relationship Id="rId24" Type="http://schemas.openxmlformats.org/officeDocument/2006/relationships/hyperlink" Target="http://wesr.unep.org/media/docs/graphs/aggregation_methods.pdf" TargetMode="External"/><Relationship Id="rId32" Type="http://schemas.openxmlformats.org/officeDocument/2006/relationships/hyperlink" Target="http://chm.pops.int/Procedures/OfficialContactPoint/tabid/3278/Default.aspx" TargetMode="External"/><Relationship Id="rId37" Type="http://schemas.openxmlformats.org/officeDocument/2006/relationships/hyperlink" Target="https://www.unenvironment.org/ozonaction/resources" TargetMode="External"/><Relationship Id="rId40" Type="http://schemas.openxmlformats.org/officeDocument/2006/relationships/hyperlink" Target="http://www.basel.int/Countries/CountryContacts/tabid/1342/Default.aspx" TargetMode="External"/><Relationship Id="rId45" Type="http://schemas.openxmlformats.org/officeDocument/2006/relationships/hyperlink" Target="http://www.pic.int/Countries/CountryProfiles/tabid/1087/language/en-US/Default.aspx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ic.int/Countries/CountryContacts/tabid/3282/language/en-US/Default.aspx" TargetMode="External"/><Relationship Id="rId19" Type="http://schemas.openxmlformats.org/officeDocument/2006/relationships/hyperlink" Target="http://www.pic.int/Countries/CountryProfiles/tabid/1087/language/en-US/Default.aspx" TargetMode="External"/><Relationship Id="rId31" Type="http://schemas.openxmlformats.org/officeDocument/2006/relationships/hyperlink" Target="http://chm.pops.int/Procedures/NationalFocalPoint/tabid/3279/Default.aspx" TargetMode="External"/><Relationship Id="rId44" Type="http://schemas.openxmlformats.org/officeDocument/2006/relationships/hyperlink" Target="http://www.pic.int/Implementation/PICCircular/tabid/1168/language/en-US/Default.aspx" TargetMode="External"/><Relationship Id="rId52" Type="http://schemas.openxmlformats.org/officeDocument/2006/relationships/hyperlink" Target="https://ozone.unep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el.int/Countries/CountryContacts/tabid/1342/Default.aspx" TargetMode="External"/><Relationship Id="rId14" Type="http://schemas.openxmlformats.org/officeDocument/2006/relationships/hyperlink" Target="http://www.basel.int/Countries/CountryContacts/tabid/1342/Default.aspx" TargetMode="External"/><Relationship Id="rId22" Type="http://schemas.openxmlformats.org/officeDocument/2006/relationships/hyperlink" Target="https://www.mercuryconvention.org/Countries/Parties/Notifications/tabid/3826/language/en-US/Default.aspx" TargetMode="External"/><Relationship Id="rId27" Type="http://schemas.openxmlformats.org/officeDocument/2006/relationships/hyperlink" Target="http://www.basel.int/Countries/NationalReporting/Guidance/tabid/1498/Default.aspx" TargetMode="External"/><Relationship Id="rId30" Type="http://schemas.openxmlformats.org/officeDocument/2006/relationships/hyperlink" Target="http://www.pic.int/Procedures/ImportResponses/FormandInstructions/tabid/1165/language/en-US/Default.aspx" TargetMode="External"/><Relationship Id="rId35" Type="http://schemas.openxmlformats.org/officeDocument/2006/relationships/hyperlink" Target="https://www.mercuryconvention.org/Countries/Parties/FocalPoints/tabid/7708/language/en-%20US%20/%20Default.aspx" TargetMode="External"/><Relationship Id="rId43" Type="http://schemas.openxmlformats.org/officeDocument/2006/relationships/hyperlink" Target="http://www.basel.int/Countries/NationalReporting/NationalReports/BC2018Reports/tabid/8202/Default.aspx" TargetMode="External"/><Relationship Id="rId48" Type="http://schemas.openxmlformats.org/officeDocument/2006/relationships/hyperlink" Target="https://www.mercuryconvention.org/en/parties/report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ercuryconvention.org/en/resources/getting-ready-online-reporting-tool" TargetMode="External"/><Relationship Id="rId3" Type="http://schemas.openxmlformats.org/officeDocument/2006/relationships/styles" Target="styles.xml"/><Relationship Id="rId12" Type="http://schemas.openxmlformats.org/officeDocument/2006/relationships/hyperlink" Target="http://chm.pops.int/Countries/CountryContacts/tabid/304/Default.aspx" TargetMode="External"/><Relationship Id="rId17" Type="http://schemas.openxmlformats.org/officeDocument/2006/relationships/hyperlink" Target="http://www.basel.int/Countries/NationalReporting/NationalReports/BC2018Reports/tabid/8202/Default.aspx" TargetMode="External"/><Relationship Id="rId25" Type="http://schemas.openxmlformats.org/officeDocument/2006/relationships/hyperlink" Target="http://www.basel.int/Procedures/FocalPoint/tabid/1325/Default.aspx" TargetMode="External"/><Relationship Id="rId33" Type="http://schemas.openxmlformats.org/officeDocument/2006/relationships/hyperlink" Target="http://chm.pops.int/Countries/Reporting/Guidance/tabid/3670/Default.aspx" TargetMode="External"/><Relationship Id="rId38" Type="http://schemas.openxmlformats.org/officeDocument/2006/relationships/hyperlink" Target="https://www.mercuryconvention.org/en/parties/focal-points" TargetMode="External"/><Relationship Id="rId46" Type="http://schemas.openxmlformats.org/officeDocument/2006/relationships/hyperlink" Target="http://chm.pops.int/Countries/Reporting/NationalReports/tabid/3668/Default.aspx" TargetMode="External"/><Relationship Id="rId20" Type="http://schemas.openxmlformats.org/officeDocument/2006/relationships/hyperlink" Target="http://chm.pops.int/Countries/Reporting/NationalReports/tabid/3668/Default.aspx" TargetMode="External"/><Relationship Id="rId41" Type="http://schemas.openxmlformats.org/officeDocument/2006/relationships/hyperlink" Target="http://www.pic.int/Countries/CountryContacts/tabid/3282/language/en-US/Default.asp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ic.int/Countries/CountryContacts/tabid/3282/language/en-US/Default.aspx" TargetMode="External"/><Relationship Id="rId23" Type="http://schemas.openxmlformats.org/officeDocument/2006/relationships/hyperlink" Target="https://www.mercuryconvention.org/en/parties/reporting/2019" TargetMode="External"/><Relationship Id="rId28" Type="http://schemas.openxmlformats.org/officeDocument/2006/relationships/hyperlink" Target="http://www.pic.int/Procedures/OfficialContactPoints/tabid/3285/language/en-US/Default.aspx" TargetMode="External"/><Relationship Id="rId36" Type="http://schemas.openxmlformats.org/officeDocument/2006/relationships/hyperlink" Target="https://mercuryconvention.org/en/parties/reporting" TargetMode="External"/><Relationship Id="rId49" Type="http://schemas.openxmlformats.org/officeDocument/2006/relationships/hyperlink" Target="https://www.mercuryconvention.org/en/documents/draft-guidance-completing-national-reporting-format-minamata-convention-merc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E17C-1751-452E-A686-2E643792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148</cp:revision>
  <dcterms:created xsi:type="dcterms:W3CDTF">2021-08-19T12:09:00Z</dcterms:created>
  <dcterms:modified xsi:type="dcterms:W3CDTF">2023-08-24T11:19:00Z</dcterms:modified>
</cp:coreProperties>
</file>