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AD48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E559F9">
        <w:rPr>
          <w:rFonts w:eastAsia="Arial Unicode MS" w:cs="Times New Roman"/>
          <w:szCs w:val="24"/>
          <w:bdr w:val="nil"/>
          <w:lang w:eastAsia="ru-RU"/>
        </w:rPr>
        <w:t>10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E559F9" w:rsidRPr="00E559F9">
        <w:t>Сокращение неравенства внутри стран и между ними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780F08" w:rsidRPr="00BD29EC">
        <w:rPr>
          <w:rFonts w:cs="Times New Roman"/>
          <w:szCs w:val="24"/>
        </w:rPr>
        <w:t>.</w:t>
      </w:r>
      <w:r w:rsidR="00EF53DC">
        <w:rPr>
          <w:rFonts w:cs="Times New Roman"/>
          <w:szCs w:val="24"/>
          <w:lang w:val="en-US"/>
        </w:rPr>
        <w:t>b</w:t>
      </w:r>
      <w:r w:rsidR="00780F08" w:rsidRPr="00BD29EC">
        <w:rPr>
          <w:rFonts w:cs="Times New Roman"/>
          <w:szCs w:val="24"/>
        </w:rPr>
        <w:t xml:space="preserve">.  </w:t>
      </w:r>
      <w:r w:rsidR="00AD4877" w:rsidRPr="00AD4877">
        <w:t>Поощрять выделение официальной помощи в целях развития и финансовые потоки, в том числе прямые иностранные инвестиции, в наиболее нуждающиеся государства, особенно в наименее развитые страны, африканские страны, малые островные развивающиеся государства и развивающиеся страны, не имеющие выхода к морю, в соответствии с их национальными планами и программами.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AD4877">
      <w:pPr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10</w:t>
      </w:r>
      <w:r w:rsidR="00780F08" w:rsidRPr="00BD29EC">
        <w:rPr>
          <w:rFonts w:cs="Times New Roman"/>
          <w:szCs w:val="24"/>
        </w:rPr>
        <w:t>.</w:t>
      </w:r>
      <w:r w:rsidR="00EF53DC">
        <w:rPr>
          <w:rFonts w:cs="Times New Roman"/>
          <w:szCs w:val="24"/>
          <w:lang w:val="en-US"/>
        </w:rPr>
        <w:t>b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AD4877">
        <w:rPr>
          <w:shd w:val="clear" w:color="auto" w:fill="FFFFFF"/>
        </w:rPr>
        <w:t>Совокупный объем потоков ресурсов в целях развития в разбивке по странам-получателям и странам-донорам и видам потоков (например, официальная помощь в целях развития, прямые иностранные инвестиции и прочие финансовые потоки)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004BE3" w:rsidRDefault="00AD4877" w:rsidP="00AD4877">
      <w:pPr>
        <w:rPr>
          <w:b/>
        </w:rPr>
      </w:pPr>
      <w:r>
        <w:t>2016-07-19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AD4877" w:rsidRPr="002B2D53" w:rsidRDefault="00AD4877" w:rsidP="00AD4877"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2B2D53"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AD4877" w:rsidRPr="002B2D53" w:rsidRDefault="00AD4877" w:rsidP="00AD4877">
      <w:r w:rsidRPr="002B2D53"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C45797">
      <w:r>
        <w:t>Определение:</w:t>
      </w:r>
    </w:p>
    <w:p w:rsidR="00AD4877" w:rsidRDefault="00AD4877" w:rsidP="00C45797">
      <w:r w:rsidRPr="00AD4877">
        <w:t>Общий поток ресурсов на цели развития в разбивке по странам-получателям и странам-донорам, а также тип потока включает официальную помощь в целях развития (</w:t>
      </w:r>
      <w:proofErr w:type="gramStart"/>
      <w:r w:rsidRPr="00AD4877">
        <w:t>ОПР</w:t>
      </w:r>
      <w:proofErr w:type="gramEnd"/>
      <w:r w:rsidRPr="00AD4877">
        <w:t>), другие официальные потоки (ДОП) и частные потоки.</w:t>
      </w:r>
    </w:p>
    <w:p w:rsidR="00DA19D7" w:rsidRDefault="003859BD" w:rsidP="00C45797">
      <w:r>
        <w:t>Основные понятия</w:t>
      </w:r>
    </w:p>
    <w:p w:rsidR="00AD4877" w:rsidRDefault="00AD4877" w:rsidP="00C45797">
      <w:r w:rsidRPr="00AD4877">
        <w:t xml:space="preserve">Официальные и частные потоки, как </w:t>
      </w:r>
      <w:r>
        <w:t>на льготных</w:t>
      </w:r>
      <w:r w:rsidRPr="00AD4877">
        <w:t xml:space="preserve">, так и </w:t>
      </w:r>
      <w:r>
        <w:t xml:space="preserve">на </w:t>
      </w:r>
      <w:proofErr w:type="spellStart"/>
      <w:r>
        <w:t>нельготных</w:t>
      </w:r>
      <w:proofErr w:type="spellEnd"/>
      <w:r>
        <w:t xml:space="preserve"> условиях</w:t>
      </w:r>
      <w:r w:rsidRPr="00AD4877">
        <w:t xml:space="preserve"> в развивающиеся страны. Что касается официальных потоков, основное различие между официальной помощью в целях развития (</w:t>
      </w:r>
      <w:proofErr w:type="gramStart"/>
      <w:r w:rsidRPr="00AD4877">
        <w:t>ОПР</w:t>
      </w:r>
      <w:proofErr w:type="gramEnd"/>
      <w:r w:rsidRPr="00AD4877">
        <w:t>) и другими официальными потоками</w:t>
      </w:r>
      <w:r w:rsidR="00121B7F">
        <w:t xml:space="preserve"> (ДОП)</w:t>
      </w:r>
      <w:r w:rsidRPr="00AD4877">
        <w:t>.</w:t>
      </w:r>
    </w:p>
    <w:p w:rsidR="00121B7F" w:rsidRDefault="00121B7F" w:rsidP="00C45797">
      <w:proofErr w:type="gramStart"/>
      <w:r>
        <w:lastRenderedPageBreak/>
        <w:t>ДОП</w:t>
      </w:r>
      <w:proofErr w:type="gramEnd"/>
      <w:r>
        <w:t>, в то время как</w:t>
      </w:r>
      <w:r w:rsidRPr="00121B7F">
        <w:t xml:space="preserve"> частные потоки делятся на потоки на рыночных условиях и благотворительные гранты. Потоки включают взносы в многосторонние агентства по развитию, которые сами являются официальными органами.</w:t>
      </w:r>
    </w:p>
    <w:p w:rsidR="00121B7F" w:rsidRPr="00DA19D7" w:rsidRDefault="00121B7F" w:rsidP="00AD4877">
      <w:r>
        <w:t xml:space="preserve">См. </w:t>
      </w:r>
      <w:hyperlink r:id="rId9" w:history="1">
        <w:r>
          <w:rPr>
            <w:rStyle w:val="ac"/>
          </w:rPr>
          <w:t>https://www.oecd.org/development/financing-sustainable-development/development-finance-standards/officialdevelopmentassistancedefinitionandcoverage.htm</w:t>
        </w:r>
      </w:hyperlink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C45797" w:rsidRPr="00C45797" w:rsidRDefault="00C45797" w:rsidP="00C45797">
      <w:r w:rsidRPr="00C45797">
        <w:t>Комит</w:t>
      </w:r>
      <w:r>
        <w:t>ет содействия развитию ОЭСР (КСР</w:t>
      </w:r>
      <w:r w:rsidRPr="00C45797">
        <w:t>) собирает данные о потоках официальных и частных ресурсов с 1960 года на агрегированном уровне.</w:t>
      </w:r>
    </w:p>
    <w:p w:rsidR="00C45797" w:rsidRPr="00C45797" w:rsidRDefault="00C45797" w:rsidP="00C45797">
      <w:r w:rsidRPr="00C45797">
        <w:t xml:space="preserve">Данные предоставляются донорами в соответствии с теми же стандартами и методологиями (см. здесь: </w:t>
      </w:r>
      <w:hyperlink r:id="rId10" w:history="1">
        <w:r w:rsidRPr="00C45797">
          <w:rPr>
            <w:rStyle w:val="ac"/>
          </w:rPr>
          <w:t>http://www.oecd.org/dac/stats/methodology.htm</w:t>
        </w:r>
      </w:hyperlink>
      <w:r w:rsidRPr="00C45797">
        <w:t>).</w:t>
      </w:r>
    </w:p>
    <w:p w:rsidR="00C45797" w:rsidRDefault="00C45797" w:rsidP="00C45797">
      <w:r w:rsidRPr="00C45797">
        <w:t>Данные сообщаются на ежегодной основе за календарный год</w:t>
      </w:r>
      <w:r>
        <w:t xml:space="preserve"> в статистических отчетах</w:t>
      </w:r>
      <w:r w:rsidRPr="00C45797">
        <w:t xml:space="preserve"> в национальных администрациях (агентствах по оказанию помощи, министерствах иностранных дел или финансов и т. д.).</w:t>
      </w:r>
    </w:p>
    <w:p w:rsidR="000A229E" w:rsidRDefault="000A229E" w:rsidP="00C45797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C45797" w:rsidRPr="00BD29EC" w:rsidRDefault="00C45797" w:rsidP="00C45797">
      <w:r w:rsidRPr="00C45797">
        <w:t>Статистический репортер</w:t>
      </w:r>
      <w:r>
        <w:t xml:space="preserve"> отвечает за сбор статистики КСР</w:t>
      </w:r>
      <w:r w:rsidRPr="00C45797">
        <w:t xml:space="preserve"> в каждой стране/учреждении, предоставляющем данные. Этот репортер обычно находится в национальном агентстве по оказанию помощи, Министерстве иностранных дел или финансов и т. д.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C45797" w:rsidRPr="00BD29EC" w:rsidRDefault="00C45797" w:rsidP="00C45797">
      <w:r w:rsidRPr="00C45797">
        <w:t>Данные публикуются ежегодно в декабре по потокам за предыдущий год. Подробные данные о потоках за 2015 год будут опубликованы в декабре 2016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C45797" w:rsidRPr="00BD29EC" w:rsidRDefault="00C45797" w:rsidP="00C45797">
      <w:r>
        <w:t>Декабрь 2016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7C5C58" w:rsidRPr="007C5C58" w:rsidRDefault="007C5C58" w:rsidP="007C5C58">
      <w:r w:rsidRPr="00C45797">
        <w:t>Данные сообщаются на ежегодной основе за календарный год</w:t>
      </w:r>
      <w:r>
        <w:t xml:space="preserve"> в статистических отчетах</w:t>
      </w:r>
      <w:r w:rsidRPr="00C45797">
        <w:t xml:space="preserve"> в национальных администрациях (агентствах по оказанию помощи, министерствах иностр</w:t>
      </w:r>
      <w:r>
        <w:t>анных дел или финансов и т. д.).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7C5C58" w:rsidRPr="00BD29EC" w:rsidRDefault="007C5C58" w:rsidP="007C5C58">
      <w:r>
        <w:t>ОЭСР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7C5C58" w:rsidRDefault="007C5C58" w:rsidP="007C5C58">
      <w:pPr>
        <w:rPr>
          <w:color w:val="4A4A4A"/>
          <w:sz w:val="21"/>
        </w:rPr>
      </w:pPr>
      <w:r w:rsidRPr="007C5C58">
        <w:t>Общие потоки ресурсов в развивающиеся страны количественно определяют общие расходы, которые доноры предоставляют развивающимся странам.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7C5C58" w:rsidRDefault="007C5C58" w:rsidP="007C5C58">
      <w:r w:rsidRPr="007C5C58">
        <w:t>Сумма официальных и частных потоков от всех доноров в развивающиеся страны.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7C5C58" w:rsidP="007C5C58">
      <w:r w:rsidRPr="007C5C58">
        <w:t>Нет - оценки отсутствующих значений не производятся.</w:t>
      </w:r>
    </w:p>
    <w:p w:rsidR="002E15F9" w:rsidRPr="00BD29EC" w:rsidRDefault="002E15F9" w:rsidP="007C5C58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694160" w:rsidRPr="00BD29EC" w:rsidRDefault="007C5C58" w:rsidP="007C5C58">
      <w:r w:rsidRPr="007C5C58">
        <w:t>Не</w:t>
      </w:r>
      <w:r>
        <w:t xml:space="preserve"> применимо.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7C5C58" w:rsidP="007C5C58">
      <w:r w:rsidRPr="007C5C58">
        <w:t>Глобальные и региональные показатели основаны на сумме общих потоков ресурсов в развивающиеся страны.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3F6D04" w:rsidRPr="007C5C58" w:rsidRDefault="003F6D04" w:rsidP="003F6D04">
      <w:r w:rsidRPr="007C5C58">
        <w:t xml:space="preserve">На </w:t>
      </w:r>
      <w:r>
        <w:t xml:space="preserve">уровне донора </w:t>
      </w:r>
      <w:r w:rsidRPr="007C5C58">
        <w:t>для всех стран КСР и многих поставщиков, не входящих в КСР (двусторонних и многосторонних), которые отчитываются перед КСР.</w:t>
      </w:r>
    </w:p>
    <w:p w:rsidR="003F6D04" w:rsidRPr="003F6D04" w:rsidRDefault="003F6D04" w:rsidP="003F6D04">
      <w:r w:rsidRPr="007C5C58">
        <w:t>На основе получателя для всех развивающихся стран, имеющих право на ОПР.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3F6D04" w:rsidRPr="003F6D04" w:rsidRDefault="003F6D04" w:rsidP="003F6D04">
      <w:pPr>
        <w:rPr>
          <w:b/>
        </w:rPr>
      </w:pPr>
      <w:r w:rsidRPr="003F6D04">
        <w:t>Этот показатель может быть дезагрегирован по типу потока (</w:t>
      </w:r>
      <w:proofErr w:type="gramStart"/>
      <w:r w:rsidRPr="003F6D04">
        <w:t>ОПР</w:t>
      </w:r>
      <w:proofErr w:type="gramEnd"/>
      <w:r w:rsidRPr="003F6D04">
        <w:t>, ДОП, частный), по донору, стране-получателю, типу финансирования, типу помощи и т. д.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3F6D04" w:rsidRDefault="003F6D04" w:rsidP="003F6D04">
      <w:pPr>
        <w:rPr>
          <w:lang w:eastAsia="en-GB"/>
        </w:rPr>
      </w:pPr>
      <w:r w:rsidRPr="003F6D04">
        <w:rPr>
          <w:lang w:eastAsia="en-GB"/>
        </w:rPr>
        <w:t>Статистические данные Комитета содействия развитию (КСР) стандартизированы на основе календарного года для всех доноров и могут отличаться от данных за финансовый год, имеющихся в бюджетных документах для некоторых стран.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3F6D04">
        <w:rPr>
          <w:rFonts w:eastAsia="Times New Roman" w:cs="Times New Roman"/>
          <w:b/>
          <w:szCs w:val="24"/>
          <w:lang w:eastAsia="en-GB"/>
        </w:rPr>
        <w:lastRenderedPageBreak/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3F6D04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3F6D04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3F6D04" w:rsidRDefault="003F6D04" w:rsidP="003F6D04">
      <w:bookmarkStart w:id="5" w:name="_GoBack"/>
      <w:r w:rsidRPr="003F6D04">
        <w:rPr>
          <w:lang w:val="en-US"/>
        </w:rPr>
        <w:t xml:space="preserve">URL: www.oecd.org/dac/stats </w:t>
      </w:r>
    </w:p>
    <w:p w:rsidR="003F6D04" w:rsidRDefault="003F6D04" w:rsidP="003F6D04">
      <w:r>
        <w:t>Использованные документы</w:t>
      </w:r>
      <w:r w:rsidRPr="003F6D04">
        <w:t xml:space="preserve">: </w:t>
      </w:r>
    </w:p>
    <w:p w:rsidR="003F6D04" w:rsidRPr="003F6D04" w:rsidRDefault="003F6D04" w:rsidP="003F6D04">
      <w:pPr>
        <w:rPr>
          <w:rFonts w:eastAsia="Times New Roman" w:cs="Times New Roman"/>
          <w:b/>
          <w:szCs w:val="24"/>
          <w:lang w:eastAsia="en-GB"/>
        </w:rPr>
      </w:pPr>
      <w:r>
        <w:t>См. все ссылки здесь</w:t>
      </w:r>
      <w:r w:rsidRPr="003F6D04">
        <w:t xml:space="preserve">: </w:t>
      </w:r>
      <w:r w:rsidRPr="003F6D04">
        <w:rPr>
          <w:lang w:val="en-US"/>
        </w:rPr>
        <w:t>http</w:t>
      </w:r>
      <w:r w:rsidRPr="003F6D04">
        <w:t>://</w:t>
      </w:r>
      <w:r w:rsidRPr="003F6D04">
        <w:rPr>
          <w:lang w:val="en-US"/>
        </w:rPr>
        <w:t>www</w:t>
      </w:r>
      <w:r w:rsidRPr="003F6D04">
        <w:t>.</w:t>
      </w:r>
      <w:proofErr w:type="spellStart"/>
      <w:r w:rsidRPr="003F6D04">
        <w:rPr>
          <w:lang w:val="en-US"/>
        </w:rPr>
        <w:t>oecd</w:t>
      </w:r>
      <w:proofErr w:type="spellEnd"/>
      <w:r w:rsidRPr="003F6D04">
        <w:t>.</w:t>
      </w:r>
      <w:r w:rsidRPr="003F6D04">
        <w:rPr>
          <w:lang w:val="en-US"/>
        </w:rPr>
        <w:t>org</w:t>
      </w:r>
      <w:r w:rsidRPr="003F6D04">
        <w:t>/</w:t>
      </w:r>
      <w:proofErr w:type="spellStart"/>
      <w:r w:rsidRPr="003F6D04">
        <w:rPr>
          <w:lang w:val="en-US"/>
        </w:rPr>
        <w:t>dac</w:t>
      </w:r>
      <w:proofErr w:type="spellEnd"/>
      <w:r w:rsidRPr="003F6D04">
        <w:t>/</w:t>
      </w:r>
      <w:r w:rsidRPr="003F6D04">
        <w:rPr>
          <w:lang w:val="en-US"/>
        </w:rPr>
        <w:t>stats</w:t>
      </w:r>
      <w:r w:rsidRPr="003F6D04">
        <w:t>/</w:t>
      </w:r>
      <w:r w:rsidRPr="003F6D04">
        <w:rPr>
          <w:lang w:val="en-US"/>
        </w:rPr>
        <w:t>methodology</w:t>
      </w:r>
      <w:r w:rsidRPr="003F6D04">
        <w:t>.</w:t>
      </w:r>
      <w:proofErr w:type="spellStart"/>
      <w:r w:rsidRPr="003F6D04">
        <w:rPr>
          <w:lang w:val="en-US"/>
        </w:rPr>
        <w:t>htm</w:t>
      </w:r>
      <w:bookmarkEnd w:id="5"/>
      <w:proofErr w:type="spellEnd"/>
    </w:p>
    <w:sectPr w:rsidR="003F6D04" w:rsidRPr="003F6D0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18" w:rsidRDefault="00753F18" w:rsidP="00F73DBC">
      <w:pPr>
        <w:spacing w:after="0" w:line="240" w:lineRule="auto"/>
      </w:pPr>
      <w:r>
        <w:separator/>
      </w:r>
    </w:p>
  </w:endnote>
  <w:endnote w:type="continuationSeparator" w:id="0">
    <w:p w:rsidR="00753F18" w:rsidRDefault="00753F18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18" w:rsidRDefault="00753F18" w:rsidP="00F73DBC">
      <w:pPr>
        <w:spacing w:after="0" w:line="240" w:lineRule="auto"/>
      </w:pPr>
      <w:r>
        <w:separator/>
      </w:r>
    </w:p>
  </w:footnote>
  <w:footnote w:type="continuationSeparator" w:id="0">
    <w:p w:rsidR="00753F18" w:rsidRDefault="00753F18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2C7BF9">
      <w:rPr>
        <w:rFonts w:cs="Times New Roman"/>
      </w:rPr>
      <w:t>май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1B02"/>
    <w:rsid w:val="00053D20"/>
    <w:rsid w:val="00087B96"/>
    <w:rsid w:val="000A210D"/>
    <w:rsid w:val="000A229E"/>
    <w:rsid w:val="000C5EF5"/>
    <w:rsid w:val="00116248"/>
    <w:rsid w:val="00121B7F"/>
    <w:rsid w:val="001470A2"/>
    <w:rsid w:val="001612F6"/>
    <w:rsid w:val="00165896"/>
    <w:rsid w:val="001762D0"/>
    <w:rsid w:val="001A163A"/>
    <w:rsid w:val="001E2FC9"/>
    <w:rsid w:val="002064C4"/>
    <w:rsid w:val="002306F8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D58DC"/>
    <w:rsid w:val="003F6D04"/>
    <w:rsid w:val="00407AF0"/>
    <w:rsid w:val="00407E4E"/>
    <w:rsid w:val="004143B4"/>
    <w:rsid w:val="00421928"/>
    <w:rsid w:val="004344AC"/>
    <w:rsid w:val="00456E71"/>
    <w:rsid w:val="004E087E"/>
    <w:rsid w:val="00503B4A"/>
    <w:rsid w:val="00587D0B"/>
    <w:rsid w:val="005E47BD"/>
    <w:rsid w:val="005F2C0B"/>
    <w:rsid w:val="006704C2"/>
    <w:rsid w:val="00682107"/>
    <w:rsid w:val="00694160"/>
    <w:rsid w:val="006B260E"/>
    <w:rsid w:val="006B3939"/>
    <w:rsid w:val="006C43F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C5C58"/>
    <w:rsid w:val="007D1185"/>
    <w:rsid w:val="007F06DF"/>
    <w:rsid w:val="00836F3E"/>
    <w:rsid w:val="00853C09"/>
    <w:rsid w:val="009508D1"/>
    <w:rsid w:val="00957A62"/>
    <w:rsid w:val="009655B4"/>
    <w:rsid w:val="009737AE"/>
    <w:rsid w:val="00980F79"/>
    <w:rsid w:val="00982FE8"/>
    <w:rsid w:val="009C064B"/>
    <w:rsid w:val="00A110F9"/>
    <w:rsid w:val="00A53D4B"/>
    <w:rsid w:val="00A618FC"/>
    <w:rsid w:val="00A71EC6"/>
    <w:rsid w:val="00A82CD3"/>
    <w:rsid w:val="00A91FDE"/>
    <w:rsid w:val="00AC1A97"/>
    <w:rsid w:val="00AD4877"/>
    <w:rsid w:val="00B0378B"/>
    <w:rsid w:val="00B72F77"/>
    <w:rsid w:val="00BD29EC"/>
    <w:rsid w:val="00BE2C5D"/>
    <w:rsid w:val="00BE415C"/>
    <w:rsid w:val="00C45797"/>
    <w:rsid w:val="00C47A4A"/>
    <w:rsid w:val="00C515AF"/>
    <w:rsid w:val="00C8596F"/>
    <w:rsid w:val="00C90708"/>
    <w:rsid w:val="00C95AB2"/>
    <w:rsid w:val="00CA1CB1"/>
    <w:rsid w:val="00D05466"/>
    <w:rsid w:val="00D2619D"/>
    <w:rsid w:val="00DA19D7"/>
    <w:rsid w:val="00DC18AA"/>
    <w:rsid w:val="00E123F7"/>
    <w:rsid w:val="00E21B43"/>
    <w:rsid w:val="00E27922"/>
    <w:rsid w:val="00E33CA8"/>
    <w:rsid w:val="00E559F9"/>
    <w:rsid w:val="00E90BD4"/>
    <w:rsid w:val="00EB362A"/>
    <w:rsid w:val="00EB389E"/>
    <w:rsid w:val="00EE0900"/>
    <w:rsid w:val="00EF53DC"/>
    <w:rsid w:val="00F374BA"/>
    <w:rsid w:val="00F5412C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ecd.org/dac/stats/methodology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ecd.org/development/financing-sustainable-development/development-finance-standards/officialdevelopmentassistancedefinitionandcovera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41E3-A7D3-4772-BEAD-5188D482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4</cp:revision>
  <dcterms:created xsi:type="dcterms:W3CDTF">2022-05-30T13:12:00Z</dcterms:created>
  <dcterms:modified xsi:type="dcterms:W3CDTF">2022-05-30T13:49:00Z</dcterms:modified>
</cp:coreProperties>
</file>