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9957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B667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B667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995788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99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780F08" w:rsidP="009957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B6CB3">
        <w:rPr>
          <w:rFonts w:eastAsia="Arial Unicode MS" w:cs="Times New Roman"/>
          <w:szCs w:val="24"/>
          <w:bdr w:val="nil"/>
          <w:lang w:eastAsia="ru-RU"/>
        </w:rPr>
        <w:t>2</w:t>
      </w:r>
      <w:r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9B6CB3" w:rsidRPr="009B6CB3">
        <w:rPr>
          <w:rFonts w:eastAsia="Arial Unicode MS" w:cs="Times New Roman"/>
          <w:szCs w:val="24"/>
          <w:bdr w:val="nil"/>
          <w:lang w:eastAsia="ru-RU"/>
        </w:rPr>
        <w:t xml:space="preserve">Ликвидация голода, обеспечение продовольственной безопасности и улучшение </w:t>
      </w:r>
      <w:proofErr w:type="gramStart"/>
      <w:r w:rsidR="009B6CB3" w:rsidRPr="009B6CB3">
        <w:rPr>
          <w:rFonts w:eastAsia="Arial Unicode MS" w:cs="Times New Roman"/>
          <w:szCs w:val="24"/>
          <w:bdr w:val="nil"/>
          <w:lang w:eastAsia="ru-RU"/>
        </w:rPr>
        <w:t>питания</w:t>
      </w:r>
      <w:proofErr w:type="gramEnd"/>
      <w:r w:rsidR="009B6CB3" w:rsidRPr="009B6CB3">
        <w:rPr>
          <w:rFonts w:eastAsia="Arial Unicode MS" w:cs="Times New Roman"/>
          <w:szCs w:val="24"/>
          <w:bdr w:val="nil"/>
          <w:lang w:eastAsia="ru-RU"/>
        </w:rPr>
        <w:t xml:space="preserve"> и содействие устойчивому развитию сельского хозяйства</w:t>
      </w:r>
    </w:p>
    <w:p w:rsidR="003143BC" w:rsidRPr="00BD29EC" w:rsidRDefault="003143BC" w:rsidP="0099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2F63E5" w:rsidRPr="00BD29EC" w:rsidRDefault="009B6CB3" w:rsidP="009957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B667DF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 xml:space="preserve">.  </w:t>
      </w:r>
      <w:proofErr w:type="gramStart"/>
      <w:r w:rsidR="00AC1566" w:rsidRPr="00AC1566">
        <w:rPr>
          <w:rFonts w:cs="Times New Roman"/>
          <w:szCs w:val="24"/>
        </w:rPr>
        <w:t>К 2020 году обеспечить сохранение генетического разнообразия семян и культивируемых растений, а также сельскохозяйственных и домашних животных и их соответствующих диких видов, в том числе посредством надлежащего содержания разнообразных банков семян и растений на национальном, региональном и международном уровнях, и содействовать расширению доступа к генетическим ресурсам и связанным с ними традиционным знаниям и совместному использованию на справедливой и равной основе</w:t>
      </w:r>
      <w:proofErr w:type="gramEnd"/>
      <w:r w:rsidR="00AC1566" w:rsidRPr="00AC1566">
        <w:rPr>
          <w:rFonts w:cs="Times New Roman"/>
          <w:szCs w:val="24"/>
        </w:rPr>
        <w:t xml:space="preserve"> выгод от их применения на согласованных на международном уровне условиях</w:t>
      </w:r>
    </w:p>
    <w:p w:rsidR="003143BC" w:rsidRPr="00BD29EC" w:rsidRDefault="003143BC" w:rsidP="0099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AC1566" w:rsidRDefault="003143BC" w:rsidP="009957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9B6CB3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B667DF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1B0C4A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 xml:space="preserve"> </w:t>
      </w:r>
      <w:r w:rsidR="001B0C4A" w:rsidRPr="001B0C4A">
        <w:rPr>
          <w:rFonts w:cs="Times New Roman"/>
          <w:szCs w:val="24"/>
        </w:rPr>
        <w:t>Доля местных пород, относимых к категории находящихся под угрозой исчезновения</w:t>
      </w:r>
    </w:p>
    <w:p w:rsidR="003143BC" w:rsidRPr="00704A8D" w:rsidRDefault="003143BC" w:rsidP="009957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704A8D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6F1198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="00704A8D">
        <w:rPr>
          <w:rFonts w:eastAsia="Arial Unicode MS" w:cs="Times New Roman"/>
          <w:b/>
          <w:szCs w:val="24"/>
          <w:bdr w:val="nil"/>
          <w:lang w:eastAsia="ru-RU"/>
        </w:rPr>
        <w:t>данных</w:t>
      </w:r>
    </w:p>
    <w:p w:rsidR="00C8596F" w:rsidRPr="00BD29EC" w:rsidRDefault="00C8596F" w:rsidP="0099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4E55FC" w:rsidRPr="004E55FC" w:rsidRDefault="004E55FC" w:rsidP="0099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4E55FC">
        <w:rPr>
          <w:rFonts w:eastAsia="Arial Unicode MS" w:cs="Times New Roman"/>
          <w:szCs w:val="24"/>
          <w:bdr w:val="nil"/>
          <w:lang w:eastAsia="ru-RU"/>
        </w:rPr>
        <w:t>2021-03-01</w:t>
      </w:r>
    </w:p>
    <w:p w:rsidR="00C8596F" w:rsidRPr="00BD29EC" w:rsidRDefault="00C8596F" w:rsidP="0099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:rsidR="004E55FC" w:rsidRPr="004E55FC" w:rsidRDefault="001B0C4A" w:rsidP="0099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Данный показатель связан с показателем 2.5.1</w:t>
      </w:r>
      <w:r w:rsidRPr="00FA004A">
        <w:rPr>
          <w:rFonts w:eastAsia="Arial Unicode MS" w:cs="Times New Roman"/>
          <w:szCs w:val="24"/>
          <w:bdr w:val="nil"/>
          <w:lang w:eastAsia="ru-RU"/>
        </w:rPr>
        <w:t>(</w:t>
      </w:r>
      <w:r>
        <w:rPr>
          <w:rFonts w:eastAsia="Arial Unicode MS" w:cs="Times New Roman"/>
          <w:szCs w:val="24"/>
          <w:bdr w:val="nil"/>
          <w:lang w:val="en-US" w:eastAsia="ru-RU"/>
        </w:rPr>
        <w:t>b</w:t>
      </w:r>
      <w:r w:rsidRPr="00FA004A">
        <w:rPr>
          <w:rFonts w:eastAsia="Arial Unicode MS" w:cs="Times New Roman"/>
          <w:szCs w:val="24"/>
          <w:bdr w:val="nil"/>
          <w:lang w:eastAsia="ru-RU"/>
        </w:rPr>
        <w:t>)</w:t>
      </w:r>
      <w:r w:rsidR="004E55FC">
        <w:rPr>
          <w:rFonts w:eastAsia="Arial Unicode MS" w:cs="Times New Roman"/>
          <w:szCs w:val="24"/>
          <w:bdr w:val="nil"/>
          <w:lang w:eastAsia="ru-RU"/>
        </w:rPr>
        <w:t xml:space="preserve">. </w:t>
      </w:r>
    </w:p>
    <w:p w:rsidR="00A91FDE" w:rsidRPr="00BD29EC" w:rsidRDefault="00E33CA8" w:rsidP="00995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Default="00A41B68" w:rsidP="009957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41B68">
        <w:rPr>
          <w:rFonts w:cs="Times New Roman"/>
          <w:szCs w:val="24"/>
        </w:rPr>
        <w:t>Продовольственная и сельскохозяйственная организация Объединенных Наций (ФАО)</w:t>
      </w:r>
    </w:p>
    <w:p w:rsidR="00A41B68" w:rsidRPr="00BD29EC" w:rsidRDefault="00A41B68" w:rsidP="009957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995788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995788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Default="00A41B68" w:rsidP="00995788">
      <w:pPr>
        <w:pStyle w:val="MText"/>
        <w:rPr>
          <w:color w:val="auto"/>
          <w:sz w:val="24"/>
          <w:szCs w:val="24"/>
          <w:lang w:val="ru-RU"/>
        </w:rPr>
      </w:pPr>
      <w:r w:rsidRPr="00A41B68">
        <w:rPr>
          <w:color w:val="auto"/>
          <w:sz w:val="24"/>
          <w:szCs w:val="24"/>
          <w:lang w:val="ru-RU"/>
        </w:rPr>
        <w:t>Продовольственная и сельскохозяйственная организация Объединенных Наций (ФАО)</w:t>
      </w:r>
    </w:p>
    <w:p w:rsidR="00A41B68" w:rsidRPr="00BD29EC" w:rsidRDefault="00A41B68" w:rsidP="00995788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995788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2. Определения, </w:t>
      </w:r>
      <w:r w:rsidR="00A41B68">
        <w:rPr>
          <w:b/>
          <w:color w:val="auto"/>
          <w:sz w:val="24"/>
          <w:szCs w:val="24"/>
          <w:lang w:val="ru-RU"/>
        </w:rPr>
        <w:t>понятия</w:t>
      </w:r>
      <w:r w:rsidRPr="00BD29EC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:rsidR="00A41B68" w:rsidRDefault="00957A62" w:rsidP="00995788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</w:t>
      </w:r>
      <w:r w:rsidR="00A41B68">
        <w:rPr>
          <w:color w:val="auto"/>
          <w:sz w:val="24"/>
          <w:szCs w:val="24"/>
          <w:lang w:val="ru-RU"/>
        </w:rPr>
        <w:t>понятия</w:t>
      </w:r>
    </w:p>
    <w:p w:rsidR="00397764" w:rsidRDefault="00397764" w:rsidP="00995788">
      <w:pPr>
        <w:shd w:val="clear" w:color="auto" w:fill="FFFFFF"/>
        <w:spacing w:after="0"/>
        <w:rPr>
          <w:rFonts w:eastAsia="Times New Roman" w:cs="Times New Roman"/>
          <w:b/>
          <w:bCs/>
          <w:szCs w:val="21"/>
          <w:lang w:eastAsia="en-GB"/>
        </w:rPr>
      </w:pPr>
      <w:r>
        <w:rPr>
          <w:rFonts w:eastAsia="Times New Roman" w:cs="Times New Roman"/>
          <w:b/>
          <w:bCs/>
          <w:szCs w:val="21"/>
          <w:lang w:eastAsia="en-GB"/>
        </w:rPr>
        <w:t>Определение</w:t>
      </w:r>
    </w:p>
    <w:p w:rsidR="004E55FC" w:rsidRPr="00FA004A" w:rsidRDefault="00FA004A" w:rsidP="00995788">
      <w:pPr>
        <w:shd w:val="clear" w:color="auto" w:fill="FFFFFF"/>
        <w:spacing w:after="0"/>
        <w:rPr>
          <w:rFonts w:eastAsia="Times New Roman" w:cs="Times New Roman"/>
          <w:b/>
          <w:bCs/>
          <w:szCs w:val="21"/>
          <w:lang w:eastAsia="en-GB"/>
        </w:rPr>
      </w:pPr>
      <w:r>
        <w:rPr>
          <w:rFonts w:cs="Times New Roman"/>
          <w:szCs w:val="24"/>
        </w:rPr>
        <w:t>Данный показатель</w:t>
      </w:r>
      <w:r w:rsidRPr="007837DB">
        <w:rPr>
          <w:rFonts w:cs="Times New Roman"/>
          <w:szCs w:val="24"/>
        </w:rPr>
        <w:t xml:space="preserve"> представляет процентную долю местных пород домашнего скота среди местных пород с известным статусом риска, </w:t>
      </w:r>
      <w:r w:rsidRPr="009764ED">
        <w:rPr>
          <w:rFonts w:cs="Times New Roman"/>
          <w:szCs w:val="24"/>
        </w:rPr>
        <w:t>относимых к категории находящихся под угрозой исчезновения в определенный мо</w:t>
      </w:r>
      <w:r w:rsidRPr="007837DB">
        <w:rPr>
          <w:rFonts w:cs="Times New Roman"/>
          <w:szCs w:val="24"/>
        </w:rPr>
        <w:t xml:space="preserve">мент времени, а также тенденции </w:t>
      </w:r>
      <w:r>
        <w:rPr>
          <w:rFonts w:cs="Times New Roman"/>
          <w:szCs w:val="24"/>
        </w:rPr>
        <w:t>изменения для этой процентной доли</w:t>
      </w:r>
      <w:r w:rsidRPr="00FA004A">
        <w:rPr>
          <w:rFonts w:cs="Times New Roman"/>
          <w:szCs w:val="24"/>
        </w:rPr>
        <w:t>.</w:t>
      </w:r>
    </w:p>
    <w:p w:rsidR="00397764" w:rsidRDefault="004E55FC" w:rsidP="00995788">
      <w:pPr>
        <w:shd w:val="clear" w:color="auto" w:fill="FFFFFF"/>
        <w:spacing w:after="0"/>
        <w:rPr>
          <w:rFonts w:eastAsia="Times New Roman" w:cs="Times New Roman"/>
          <w:b/>
          <w:bCs/>
          <w:szCs w:val="21"/>
          <w:lang w:eastAsia="en-GB"/>
        </w:rPr>
      </w:pPr>
      <w:r w:rsidRPr="004E55FC">
        <w:rPr>
          <w:rFonts w:eastAsia="Times New Roman" w:cs="Times New Roman"/>
          <w:b/>
          <w:bCs/>
          <w:szCs w:val="21"/>
          <w:lang w:eastAsia="en-GB"/>
        </w:rPr>
        <w:t>Понятия</w:t>
      </w:r>
    </w:p>
    <w:p w:rsidR="00FA004A" w:rsidRPr="00EE2023" w:rsidRDefault="00FA004A" w:rsidP="00FA004A">
      <w:pPr>
        <w:rPr>
          <w:rFonts w:cs="Times New Roman"/>
          <w:szCs w:val="24"/>
        </w:rPr>
      </w:pPr>
      <w:r>
        <w:rPr>
          <w:rFonts w:cs="Times New Roman"/>
          <w:szCs w:val="24"/>
        </w:rPr>
        <w:t>Аналогичный</w:t>
      </w:r>
      <w:r w:rsidRPr="00EE2023">
        <w:rPr>
          <w:rFonts w:cs="Times New Roman"/>
          <w:szCs w:val="24"/>
        </w:rPr>
        <w:t xml:space="preserve"> показатель был</w:t>
      </w:r>
      <w:r>
        <w:rPr>
          <w:rFonts w:cs="Times New Roman"/>
          <w:szCs w:val="24"/>
        </w:rPr>
        <w:t xml:space="preserve"> первоначально</w:t>
      </w:r>
      <w:r w:rsidRPr="00EE2023">
        <w:rPr>
          <w:rFonts w:cs="Times New Roman"/>
          <w:szCs w:val="24"/>
        </w:rPr>
        <w:t xml:space="preserve"> предложен для целевой задачи 15.5, и </w:t>
      </w:r>
      <w:r>
        <w:rPr>
          <w:rFonts w:cs="Times New Roman"/>
          <w:szCs w:val="24"/>
        </w:rPr>
        <w:t>также</w:t>
      </w:r>
      <w:r w:rsidRPr="00EE2023">
        <w:rPr>
          <w:rFonts w:cs="Times New Roman"/>
          <w:szCs w:val="24"/>
        </w:rPr>
        <w:t xml:space="preserve"> служит </w:t>
      </w:r>
      <w:r>
        <w:rPr>
          <w:rFonts w:cs="Times New Roman"/>
          <w:szCs w:val="24"/>
        </w:rPr>
        <w:t>показателем</w:t>
      </w:r>
      <w:r w:rsidRPr="00EE2023">
        <w:rPr>
          <w:rFonts w:cs="Times New Roman"/>
          <w:szCs w:val="24"/>
        </w:rPr>
        <w:t xml:space="preserve"> для </w:t>
      </w:r>
      <w:proofErr w:type="spellStart"/>
      <w:r w:rsidRPr="00EE2023">
        <w:rPr>
          <w:rFonts w:cs="Times New Roman"/>
          <w:szCs w:val="24"/>
        </w:rPr>
        <w:t>Айтинской</w:t>
      </w:r>
      <w:proofErr w:type="spellEnd"/>
      <w:r w:rsidRPr="00EE2023">
        <w:rPr>
          <w:rFonts w:cs="Times New Roman"/>
          <w:szCs w:val="24"/>
        </w:rPr>
        <w:t xml:space="preserve"> целевой задачи 13 «Генетическое разнообразие наземных одомашненных животных» в соответствии с Конвенцией о биологическом разнообразии </w:t>
      </w:r>
      <w:r w:rsidRPr="009764ED">
        <w:rPr>
          <w:rFonts w:cs="Times New Roman"/>
          <w:szCs w:val="24"/>
        </w:rPr>
        <w:t>(</w:t>
      </w:r>
      <w:r w:rsidRPr="009764ED">
        <w:rPr>
          <w:rFonts w:cs="Times New Roman"/>
          <w:color w:val="4A4A4A"/>
          <w:szCs w:val="24"/>
        </w:rPr>
        <w:t>CBD</w:t>
      </w:r>
      <w:r w:rsidRPr="009764ED">
        <w:rPr>
          <w:rFonts w:cs="Times New Roman"/>
          <w:szCs w:val="24"/>
        </w:rPr>
        <w:t xml:space="preserve">). Он описан на веб-странице Партнерства по показателям </w:t>
      </w:r>
      <w:r w:rsidRPr="009764ED">
        <w:rPr>
          <w:rFonts w:cs="Times New Roman"/>
          <w:szCs w:val="24"/>
        </w:rPr>
        <w:lastRenderedPageBreak/>
        <w:t>биоразнообразия (</w:t>
      </w:r>
      <w:r w:rsidRPr="009764ED">
        <w:rPr>
          <w:rFonts w:cs="Times New Roman"/>
          <w:color w:val="4A4A4A"/>
          <w:szCs w:val="24"/>
        </w:rPr>
        <w:t>BIP</w:t>
      </w:r>
      <w:r w:rsidRPr="009764ED">
        <w:rPr>
          <w:rFonts w:cs="Times New Roman"/>
          <w:szCs w:val="24"/>
        </w:rPr>
        <w:t xml:space="preserve">), сети организаций, которые собрались вместе, чтобы предоставить самую последнюю информацию о биоразнообразии, делающую возможным отслеживание прогресса в достижении </w:t>
      </w:r>
      <w:proofErr w:type="spellStart"/>
      <w:r w:rsidRPr="009764ED">
        <w:rPr>
          <w:rFonts w:cs="Times New Roman"/>
          <w:szCs w:val="24"/>
        </w:rPr>
        <w:t>Айтинских</w:t>
      </w:r>
      <w:proofErr w:type="spellEnd"/>
      <w:r w:rsidRPr="009764ED">
        <w:rPr>
          <w:rFonts w:cs="Times New Roman"/>
          <w:szCs w:val="24"/>
        </w:rPr>
        <w:t xml:space="preserve"> целевых задач (</w:t>
      </w:r>
      <w:r>
        <w:rPr>
          <w:rFonts w:cs="Times New Roman"/>
          <w:szCs w:val="24"/>
        </w:rPr>
        <w:t xml:space="preserve">см. </w:t>
      </w:r>
      <w:hyperlink r:id="rId9" w:history="1">
        <w:r w:rsidRPr="002A5870">
          <w:rPr>
            <w:rStyle w:val="ac"/>
            <w:rFonts w:cs="Times New Roman"/>
            <w:szCs w:val="24"/>
          </w:rPr>
          <w:t>http://www.bipindicators.net/domesticatedanimals</w:t>
        </w:r>
      </w:hyperlink>
      <w:r w:rsidRPr="009764ED">
        <w:rPr>
          <w:rFonts w:cs="Times New Roman"/>
          <w:szCs w:val="24"/>
        </w:rPr>
        <w:t xml:space="preserve">). Кроме того, он представлен в Глобальной перспективе в области биоразнообразия 4, стр. 91 (см. </w:t>
      </w:r>
      <w:hyperlink r:id="rId10" w:history="1">
        <w:r w:rsidRPr="002A5870">
          <w:rPr>
            <w:rStyle w:val="ac"/>
            <w:rFonts w:cs="Times New Roman"/>
            <w:szCs w:val="24"/>
          </w:rPr>
          <w:t>http://www.cbd.int/gbo/gbo4/publication/gbo4-en-lr.pdf</w:t>
        </w:r>
      </w:hyperlink>
      <w:r w:rsidRPr="009764ED">
        <w:rPr>
          <w:rFonts w:cs="Times New Roman"/>
          <w:szCs w:val="24"/>
        </w:rPr>
        <w:t>), который является результатом процессов в рамках Конвенции о биологическом разнообразии.</w:t>
      </w:r>
      <w:r>
        <w:rPr>
          <w:rFonts w:cs="Times New Roman"/>
          <w:szCs w:val="24"/>
        </w:rPr>
        <w:t xml:space="preserve"> </w:t>
      </w:r>
    </w:p>
    <w:p w:rsidR="00407E4E" w:rsidRPr="00BD29EC" w:rsidRDefault="00407E4E" w:rsidP="00995788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8830C4" w:rsidRPr="008830C4" w:rsidRDefault="008830C4" w:rsidP="008830C4">
      <w:r w:rsidRPr="008830C4">
        <w:t>Доля местных пород</w:t>
      </w:r>
    </w:p>
    <w:p w:rsidR="000A229E" w:rsidRPr="00BD29EC" w:rsidRDefault="000A229E" w:rsidP="00995788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4E55FC" w:rsidRDefault="008830C4" w:rsidP="00995788">
      <w:pPr>
        <w:pStyle w:val="MText"/>
        <w:rPr>
          <w:color w:val="auto"/>
          <w:sz w:val="24"/>
          <w:szCs w:val="24"/>
          <w:lang w:val="ru-RU"/>
        </w:rPr>
      </w:pPr>
      <w:r w:rsidRPr="008830C4">
        <w:rPr>
          <w:color w:val="auto"/>
          <w:sz w:val="24"/>
          <w:szCs w:val="24"/>
          <w:lang w:val="ru-RU"/>
        </w:rPr>
        <w:t xml:space="preserve">Используемые международные стандарты и классификации были одобрены Комиссией ФАО по генетическим ресурсам для производства продовольствия и ведения сельского хозяйства и более подробно представлены в: ФАО. 2013. Сохранение генетических ресурсов животных </w:t>
      </w:r>
      <w:proofErr w:type="spellStart"/>
      <w:r w:rsidRPr="008830C4">
        <w:rPr>
          <w:color w:val="auto"/>
          <w:sz w:val="24"/>
          <w:szCs w:val="24"/>
          <w:lang w:val="ru-RU"/>
        </w:rPr>
        <w:t>in</w:t>
      </w:r>
      <w:proofErr w:type="spellEnd"/>
      <w:r w:rsidRPr="008830C4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8830C4">
        <w:rPr>
          <w:color w:val="auto"/>
          <w:sz w:val="24"/>
          <w:szCs w:val="24"/>
          <w:lang w:val="ru-RU"/>
        </w:rPr>
        <w:t>vivo</w:t>
      </w:r>
      <w:proofErr w:type="spellEnd"/>
      <w:r w:rsidRPr="008830C4">
        <w:rPr>
          <w:color w:val="auto"/>
          <w:sz w:val="24"/>
          <w:szCs w:val="24"/>
          <w:lang w:val="ru-RU"/>
        </w:rPr>
        <w:t xml:space="preserve"> (доступно по адресу </w:t>
      </w:r>
      <w:hyperlink r:id="rId11" w:history="1">
        <w:r w:rsidRPr="0021035E">
          <w:rPr>
            <w:rStyle w:val="ac"/>
            <w:sz w:val="24"/>
            <w:szCs w:val="24"/>
            <w:lang w:val="ru-RU"/>
          </w:rPr>
          <w:t>http://www.fao.org/3/a-i3327e.pdf</w:t>
        </w:r>
      </w:hyperlink>
      <w:r w:rsidRPr="008830C4">
        <w:rPr>
          <w:color w:val="auto"/>
          <w:sz w:val="24"/>
          <w:szCs w:val="24"/>
          <w:lang w:val="ru-RU"/>
        </w:rPr>
        <w:t>).</w:t>
      </w:r>
    </w:p>
    <w:p w:rsidR="008830C4" w:rsidRPr="00BD29EC" w:rsidRDefault="008830C4" w:rsidP="00995788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995788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Pr="00BD29EC" w:rsidRDefault="000A229E" w:rsidP="00995788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B86391" w:rsidRDefault="008830C4" w:rsidP="00F35D05">
      <w:r w:rsidRPr="008830C4">
        <w:t>DAD-IS - это Информационная система о разнообразии домашних животных, поддерживаемая и разрабатываемая ФАО (</w:t>
      </w:r>
      <w:hyperlink r:id="rId12" w:history="1">
        <w:r w:rsidRPr="008830C4">
          <w:rPr>
            <w:rStyle w:val="ac"/>
          </w:rPr>
          <w:t>http://www.fao.org/dad-is/en/</w:t>
        </w:r>
      </w:hyperlink>
      <w:r w:rsidRPr="008830C4">
        <w:t>). Она обеспечивает доступ к поисковым базам данных, содержащих информацию о породах, фотографии, а также ссылки на другие онлайн-ресурсы по разнообразию домашнего скота. Это позволяет проанализировать разнообразие пород домашнего скота на национальном, региональном и глобальном уровнях, включая статус пород с точки зрения риска их исчезновения. DAD-IS в настоящее время содержит данные по 182 странам и 38 видам. Она содержит информацию о более чем 8 800 породах млекопитающих и птиц, из которых около 7700 считаются местными (т.е., согласно отчетам, встречаются только в одной стране).</w:t>
      </w:r>
    </w:p>
    <w:p w:rsidR="00995788" w:rsidRDefault="000A229E" w:rsidP="00F35D05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8830C4" w:rsidRDefault="008830C4" w:rsidP="008830C4">
      <w:r w:rsidRPr="008830C4">
        <w:t>Перепись скота на уровне породы или данные, полученные из национальных племенных книг или национальных обследований.</w:t>
      </w:r>
    </w:p>
    <w:p w:rsidR="000A229E" w:rsidRPr="00BD29EC" w:rsidRDefault="000A229E" w:rsidP="00D636C1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1D786D" w:rsidRDefault="001D786D" w:rsidP="001D786D">
      <w:r w:rsidRPr="001D786D">
        <w:t>Ввод данных в DAD-IS возможен в течение всего года.</w:t>
      </w:r>
    </w:p>
    <w:p w:rsidR="000A229E" w:rsidRDefault="000A229E" w:rsidP="00995788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1D786D" w:rsidRDefault="001D786D" w:rsidP="001D786D">
      <w:r w:rsidRPr="001D786D">
        <w:t>Индикатор обновляется в первом квартале каждого года.</w:t>
      </w:r>
    </w:p>
    <w:p w:rsidR="000A229E" w:rsidRDefault="000A229E" w:rsidP="00995788">
      <w:pPr>
        <w:pStyle w:val="MHeader2"/>
        <w:rPr>
          <w:b/>
          <w:color w:val="auto"/>
          <w:sz w:val="24"/>
          <w:szCs w:val="24"/>
          <w:lang w:val="ru-RU"/>
        </w:rPr>
      </w:pPr>
      <w:r w:rsidRPr="00B17F13">
        <w:rPr>
          <w:color w:val="auto"/>
          <w:sz w:val="24"/>
          <w:szCs w:val="24"/>
          <w:lang w:val="ru-RU"/>
        </w:rPr>
        <w:t>3.</w:t>
      </w:r>
      <w:r w:rsidRPr="00B17F13">
        <w:rPr>
          <w:color w:val="auto"/>
          <w:sz w:val="24"/>
          <w:szCs w:val="24"/>
        </w:rPr>
        <w:t>e</w:t>
      </w:r>
      <w:r w:rsidRPr="00B17F13">
        <w:rPr>
          <w:color w:val="auto"/>
          <w:sz w:val="24"/>
          <w:szCs w:val="24"/>
          <w:lang w:val="ru-RU"/>
        </w:rPr>
        <w:t xml:space="preserve">. </w:t>
      </w:r>
      <w:r w:rsidR="00A71EC6" w:rsidRPr="00B17F13">
        <w:rPr>
          <w:b/>
          <w:color w:val="auto"/>
          <w:sz w:val="24"/>
          <w:szCs w:val="24"/>
          <w:lang w:val="ru-RU"/>
        </w:rPr>
        <w:t>Поставщики данных</w:t>
      </w:r>
    </w:p>
    <w:p w:rsidR="001D786D" w:rsidRDefault="001D786D" w:rsidP="001D786D">
      <w:r w:rsidRPr="001D786D">
        <w:t xml:space="preserve">Данные предоставляются Национальными координаторами по вопросам управления генетическими ресурсами животных (НК). Национальные координаторы официально </w:t>
      </w:r>
      <w:r w:rsidRPr="001D786D">
        <w:lastRenderedPageBreak/>
        <w:t>назначаются страной (обычно Министерством сельского хозяйства). ФАО предоставляет пароль для ввода/обновления данных страны в глобальной информационной системе данных DAD-IS непосредственно Национальному координатору, но только после получения официального письма о назначении.</w:t>
      </w:r>
      <w:r>
        <w:t xml:space="preserve"> </w:t>
      </w:r>
    </w:p>
    <w:p w:rsidR="000A229E" w:rsidRDefault="000A229E" w:rsidP="00995788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495D65" w:rsidRPr="00495D65" w:rsidRDefault="00495D65" w:rsidP="00495D65">
      <w:pPr>
        <w:rPr>
          <w:color w:val="1C75BC"/>
          <w:sz w:val="26"/>
        </w:rPr>
      </w:pPr>
      <w:r w:rsidRPr="00495D65">
        <w:t>Продовольственная и сельскохозяйственная организация Объединенных Наций (ФАО ООН)</w:t>
      </w:r>
    </w:p>
    <w:p w:rsidR="000A229E" w:rsidRPr="00BD29EC" w:rsidRDefault="000A229E" w:rsidP="00995788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1D786D" w:rsidRDefault="001D786D" w:rsidP="001D786D">
      <w:r w:rsidRPr="001D786D">
        <w:t xml:space="preserve">Национальные координаторы по управлению генетическими ресурсами животных несут ответственность за предоставление национальных данных, на которых основан </w:t>
      </w:r>
      <w:r w:rsidR="000C1256">
        <w:t>показатель</w:t>
      </w:r>
      <w:r w:rsidRPr="001D786D">
        <w:t xml:space="preserve">. Их круг ведения был одобрен Комиссией по генетическим ресурсам для производства продовольствия и ведения сельского хозяйства и более подробно описан </w:t>
      </w:r>
      <w:proofErr w:type="gramStart"/>
      <w:r w:rsidRPr="001D786D">
        <w:t>в</w:t>
      </w:r>
      <w:proofErr w:type="gramEnd"/>
      <w:r w:rsidRPr="001D786D">
        <w:t xml:space="preserve">: </w:t>
      </w:r>
      <w:proofErr w:type="gramStart"/>
      <w:r w:rsidRPr="001D786D">
        <w:t>Разработка</w:t>
      </w:r>
      <w:proofErr w:type="gramEnd"/>
      <w:r w:rsidRPr="001D786D">
        <w:t xml:space="preserve"> институциональной основы для управления генетическими ресурсами животных. Руководство ФАО по животноводству и охране здоровья. № 6. Рим. (Доступно по адресу </w:t>
      </w:r>
      <w:hyperlink r:id="rId13" w:history="1">
        <w:r w:rsidRPr="0021035E">
          <w:rPr>
            <w:rStyle w:val="ac"/>
            <w:szCs w:val="24"/>
          </w:rPr>
          <w:t>http://www.fao.org/3/ba0054e/ba0054e00.pdf</w:t>
        </w:r>
      </w:hyperlink>
      <w:r w:rsidRPr="001D786D">
        <w:t>).</w:t>
      </w:r>
    </w:p>
    <w:p w:rsidR="002E15F9" w:rsidRPr="00BD29EC" w:rsidRDefault="002E15F9" w:rsidP="00995788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Default="002E15F9" w:rsidP="00995788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Этот показатель имеет прямую связь с «биоразнообразием» как животных, так и домашнего скота, поскольку их генетические ресурсы представляют собой неотъемлемую часть сельскохозяйственных экосистем и биоразнообразия как такового. Кроме того, существуют косвенные связи с «недоеданием»: генетические ресурсы животных для производства продовольствия и ведения сельского хозяйства являются неотъемлемой частью биологической основы для мировой продовольственной безопасности и способствуют обеспечению сре</w:t>
      </w:r>
      <w:proofErr w:type="gramStart"/>
      <w:r w:rsidRPr="000C1256">
        <w:rPr>
          <w:rFonts w:eastAsia="Calibri" w:cs="Times New Roman"/>
          <w:szCs w:val="24"/>
        </w:rPr>
        <w:t>дств к с</w:t>
      </w:r>
      <w:proofErr w:type="gramEnd"/>
      <w:r w:rsidRPr="000C1256">
        <w:rPr>
          <w:rFonts w:eastAsia="Calibri" w:cs="Times New Roman"/>
          <w:szCs w:val="24"/>
        </w:rPr>
        <w:t>уществованию для более тысячи миллионов человек. Разнообразная ресурсная база имеет решающее значение для выживания и благополучия человека и вклада в искоренение голода: генетические ресурсы животных имеют решающее значение при адаптации к меняющимся социально-экономическим и экологическим условиям, включая изменение климата. Они являются сырьем животновода и одним из важнейших ресурсов фермера. Они необходимы для устойчивого сельскохозяйственного производства.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Отсутствие увеличения процента пород, находящихся в группе риска или вымирающих пород, напрямую связано с «прекращением процесса утраты биоразнообразия».</w:t>
      </w:r>
    </w:p>
    <w:p w:rsidR="002E15F9" w:rsidRPr="00BD29EC" w:rsidRDefault="002E15F9" w:rsidP="00B17F13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0C1256" w:rsidRPr="000C1256" w:rsidRDefault="000C1256" w:rsidP="000C1256">
      <w:r w:rsidRPr="000C1256">
        <w:t>Информация о породах остается далеко не полной. Во всем мире, за исключением вымерших пород, 65 процентов местных пород классифицируются как имеющие неизвестный статус из-за отсутствия данных о популяции или отсутствия последних обновлений.</w:t>
      </w:r>
    </w:p>
    <w:p w:rsidR="000C1256" w:rsidRPr="000C1256" w:rsidRDefault="000C1256" w:rsidP="000C1256">
      <w:r w:rsidRPr="000C1256">
        <w:t>Как правило, сбор данных должен быть возможен во всех странах. Для определения классов риска необходимо обновлять данные о популяции, по крайней мере, каждые 10 лет.</w:t>
      </w:r>
    </w:p>
    <w:p w:rsidR="002E15F9" w:rsidRPr="00BD29EC" w:rsidRDefault="002E15F9" w:rsidP="00B17F13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Показатель основывается на данных, содержащихся в Информационной системе о разнообразии домашних животных ФАО (DAD-IS) (</w:t>
      </w:r>
      <w:hyperlink r:id="rId14" w:history="1">
        <w:r w:rsidRPr="000C1256">
          <w:rPr>
            <w:rFonts w:eastAsia="Calibri" w:cs="Times New Roman"/>
            <w:color w:val="0563C1"/>
            <w:szCs w:val="24"/>
            <w:u w:val="single"/>
          </w:rPr>
          <w:t>http://dad.fao.org/</w:t>
        </w:r>
      </w:hyperlink>
      <w:r w:rsidRPr="000C1256">
        <w:rPr>
          <w:rFonts w:eastAsia="Calibri" w:cs="Times New Roman"/>
          <w:szCs w:val="24"/>
        </w:rPr>
        <w:t>). Классы риска определяются на основе размеров популяций пород, о которых сообщается в DAD-IS. Класс риска считается «не установленным», если (i) не указаны размеры популяции или (</w:t>
      </w:r>
      <w:proofErr w:type="spellStart"/>
      <w:r w:rsidRPr="000C1256">
        <w:rPr>
          <w:rFonts w:eastAsia="Calibri" w:cs="Times New Roman"/>
          <w:szCs w:val="24"/>
        </w:rPr>
        <w:t>ii</w:t>
      </w:r>
      <w:proofErr w:type="spellEnd"/>
      <w:r w:rsidRPr="000C1256">
        <w:rPr>
          <w:rFonts w:eastAsia="Calibri" w:cs="Times New Roman"/>
          <w:szCs w:val="24"/>
        </w:rPr>
        <w:t>) последний раз размер популяции был зарегистрирован более чем за 10 лет до года расчета (10-летняя точка отсчета).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 xml:space="preserve">Виды делятся на две группы. Первая группа включает виды, обладающие высокой репродуктивной способностью, такие как свиньи, кролики, морские свинки и виды птиц, а вторая - виды, которые имеют низкую репродуктивную способность, т.е. принадлежат к таксономическим семействам </w:t>
      </w:r>
      <w:proofErr w:type="spellStart"/>
      <w:r w:rsidRPr="000C1256">
        <w:rPr>
          <w:rFonts w:eastAsia="Calibri" w:cs="Times New Roman"/>
          <w:szCs w:val="24"/>
        </w:rPr>
        <w:t>Bovidae</w:t>
      </w:r>
      <w:proofErr w:type="spellEnd"/>
      <w:r w:rsidRPr="000C1256">
        <w:rPr>
          <w:rFonts w:eastAsia="Calibri" w:cs="Times New Roman"/>
          <w:szCs w:val="24"/>
        </w:rPr>
        <w:t xml:space="preserve">, </w:t>
      </w:r>
      <w:proofErr w:type="spellStart"/>
      <w:r w:rsidRPr="000C1256">
        <w:rPr>
          <w:rFonts w:eastAsia="Calibri" w:cs="Times New Roman"/>
          <w:szCs w:val="24"/>
        </w:rPr>
        <w:t>Equidae</w:t>
      </w:r>
      <w:proofErr w:type="spellEnd"/>
      <w:r w:rsidRPr="000C1256">
        <w:rPr>
          <w:rFonts w:eastAsia="Calibri" w:cs="Times New Roman"/>
          <w:szCs w:val="24"/>
        </w:rPr>
        <w:t xml:space="preserve">, </w:t>
      </w:r>
      <w:proofErr w:type="spellStart"/>
      <w:r w:rsidRPr="000C1256">
        <w:rPr>
          <w:rFonts w:eastAsia="Calibri" w:cs="Times New Roman"/>
          <w:szCs w:val="24"/>
        </w:rPr>
        <w:t>Camelidae</w:t>
      </w:r>
      <w:proofErr w:type="spellEnd"/>
      <w:r w:rsidRPr="000C1256">
        <w:rPr>
          <w:rFonts w:eastAsia="Calibri" w:cs="Times New Roman"/>
          <w:szCs w:val="24"/>
        </w:rPr>
        <w:t xml:space="preserve"> и </w:t>
      </w:r>
      <w:proofErr w:type="spellStart"/>
      <w:r w:rsidRPr="000C1256">
        <w:rPr>
          <w:rFonts w:eastAsia="Calibri" w:cs="Times New Roman"/>
          <w:szCs w:val="24"/>
        </w:rPr>
        <w:t>Cervidae</w:t>
      </w:r>
      <w:proofErr w:type="spellEnd"/>
      <w:r w:rsidRPr="000C1256">
        <w:rPr>
          <w:rFonts w:eastAsia="Calibri" w:cs="Times New Roman"/>
          <w:szCs w:val="24"/>
        </w:rPr>
        <w:t>.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proofErr w:type="gramStart"/>
      <w:r w:rsidRPr="000C1256">
        <w:rPr>
          <w:rFonts w:eastAsia="Calibri" w:cs="Times New Roman"/>
          <w:szCs w:val="24"/>
        </w:rPr>
        <w:t>Категории статуса риска определяются следующим образом (см. также ФАО, 2013, Сохранение генетических ресурсов животных в естественных условиях; Руководство ФАО по животноводству и охране здоровья животных, № 14, Рим.</w:t>
      </w:r>
      <w:proofErr w:type="gramEnd"/>
      <w:r w:rsidRPr="000C1256">
        <w:rPr>
          <w:rFonts w:eastAsia="Calibri" w:cs="Times New Roman"/>
          <w:szCs w:val="24"/>
        </w:rPr>
        <w:t xml:space="preserve"> </w:t>
      </w:r>
      <w:proofErr w:type="gramStart"/>
      <w:r w:rsidRPr="000C1256">
        <w:rPr>
          <w:rFonts w:eastAsia="Calibri" w:cs="Times New Roman"/>
          <w:szCs w:val="24"/>
        </w:rPr>
        <w:t xml:space="preserve">Доступно по ссылке </w:t>
      </w:r>
      <w:hyperlink r:id="rId15" w:history="1">
        <w:r w:rsidRPr="000C1256">
          <w:rPr>
            <w:rFonts w:eastAsia="Calibri" w:cs="Times New Roman"/>
            <w:color w:val="0563C1"/>
            <w:szCs w:val="24"/>
            <w:u w:val="single"/>
          </w:rPr>
          <w:t>http://www.fao.org/docrep/018/i3327e/i3327e.pdf</w:t>
        </w:r>
      </w:hyperlink>
      <w:r w:rsidRPr="000C1256">
        <w:rPr>
          <w:rFonts w:eastAsia="Calibri" w:cs="Times New Roman"/>
          <w:szCs w:val="24"/>
        </w:rPr>
        <w:t>.):</w:t>
      </w:r>
      <w:proofErr w:type="gramEnd"/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b/>
          <w:szCs w:val="24"/>
        </w:rPr>
        <w:t>Вымершая порода</w:t>
      </w:r>
      <w:r w:rsidRPr="000C1256">
        <w:rPr>
          <w:rFonts w:eastAsia="Calibri" w:cs="Times New Roman"/>
          <w:szCs w:val="24"/>
        </w:rPr>
        <w:t xml:space="preserve">: породу классифицируют как вымершую, когда не осталось размножающихся самцов или размножающихся самок, и любой </w:t>
      </w:r>
      <w:proofErr w:type="spellStart"/>
      <w:r w:rsidRPr="000C1256">
        <w:rPr>
          <w:rFonts w:eastAsia="Calibri" w:cs="Times New Roman"/>
          <w:szCs w:val="24"/>
        </w:rPr>
        <w:t>криоконсервированный</w:t>
      </w:r>
      <w:proofErr w:type="spellEnd"/>
      <w:r w:rsidRPr="000C1256">
        <w:rPr>
          <w:rFonts w:eastAsia="Calibri" w:cs="Times New Roman"/>
          <w:szCs w:val="24"/>
        </w:rPr>
        <w:t xml:space="preserve"> генетический материал, который может быть доступен, недостаточен для восстановления породы.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b/>
          <w:szCs w:val="24"/>
        </w:rPr>
        <w:t xml:space="preserve">Только </w:t>
      </w:r>
      <w:proofErr w:type="spellStart"/>
      <w:r w:rsidRPr="000C1256">
        <w:rPr>
          <w:rFonts w:eastAsia="Calibri" w:cs="Times New Roman"/>
          <w:b/>
          <w:szCs w:val="24"/>
        </w:rPr>
        <w:t>криоконсервированная</w:t>
      </w:r>
      <w:proofErr w:type="spellEnd"/>
      <w:r w:rsidRPr="000C1256">
        <w:rPr>
          <w:rFonts w:eastAsia="Calibri" w:cs="Times New Roman"/>
          <w:b/>
          <w:szCs w:val="24"/>
        </w:rPr>
        <w:t xml:space="preserve"> порода</w:t>
      </w:r>
      <w:r w:rsidRPr="000C1256">
        <w:rPr>
          <w:rFonts w:eastAsia="Calibri" w:cs="Times New Roman"/>
          <w:szCs w:val="24"/>
        </w:rPr>
        <w:t xml:space="preserve">: Породы, у которых не осталось живых самцов или самок, но для которых имеется достаточное количество </w:t>
      </w:r>
      <w:proofErr w:type="spellStart"/>
      <w:r w:rsidRPr="000C1256">
        <w:rPr>
          <w:rFonts w:eastAsia="Calibri" w:cs="Times New Roman"/>
          <w:szCs w:val="24"/>
        </w:rPr>
        <w:t>криоконсервированного</w:t>
      </w:r>
      <w:proofErr w:type="spellEnd"/>
      <w:r w:rsidRPr="000C1256">
        <w:rPr>
          <w:rFonts w:eastAsia="Calibri" w:cs="Times New Roman"/>
          <w:szCs w:val="24"/>
        </w:rPr>
        <w:t xml:space="preserve"> материала для восстановления породы, относятся к категории только </w:t>
      </w:r>
      <w:proofErr w:type="spellStart"/>
      <w:r w:rsidRPr="000C1256">
        <w:rPr>
          <w:rFonts w:eastAsia="Calibri" w:cs="Times New Roman"/>
          <w:szCs w:val="24"/>
        </w:rPr>
        <w:t>криоконсервированных</w:t>
      </w:r>
      <w:proofErr w:type="spellEnd"/>
      <w:r w:rsidRPr="000C1256">
        <w:rPr>
          <w:rFonts w:eastAsia="Calibri" w:cs="Times New Roman"/>
          <w:szCs w:val="24"/>
        </w:rPr>
        <w:t xml:space="preserve">. Возможность воссоздания вымершей породы зависит от количества и типа хранящейся зародышевой плазмы. Требования сильно различаются по видам. Руководство относительно того, что составляет «достаточное количество </w:t>
      </w:r>
      <w:proofErr w:type="spellStart"/>
      <w:r w:rsidRPr="000C1256">
        <w:rPr>
          <w:rFonts w:eastAsia="Calibri" w:cs="Times New Roman"/>
          <w:szCs w:val="24"/>
        </w:rPr>
        <w:t>криоконсервированного</w:t>
      </w:r>
      <w:proofErr w:type="spellEnd"/>
      <w:r w:rsidRPr="000C1256">
        <w:rPr>
          <w:rFonts w:eastAsia="Calibri" w:cs="Times New Roman"/>
          <w:szCs w:val="24"/>
        </w:rPr>
        <w:t xml:space="preserve"> материала» содержится в руководстве ФАО «</w:t>
      </w:r>
      <w:proofErr w:type="spellStart"/>
      <w:r w:rsidRPr="000C1256">
        <w:rPr>
          <w:rFonts w:eastAsia="Calibri" w:cs="Times New Roman"/>
          <w:szCs w:val="24"/>
        </w:rPr>
        <w:t>Криоконсервация</w:t>
      </w:r>
      <w:proofErr w:type="spellEnd"/>
      <w:r w:rsidRPr="000C1256">
        <w:rPr>
          <w:rFonts w:eastAsia="Calibri" w:cs="Times New Roman"/>
          <w:szCs w:val="24"/>
        </w:rPr>
        <w:t xml:space="preserve"> генетических ресурсов животных». (ФАО, 2012 г.).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b/>
          <w:szCs w:val="24"/>
        </w:rPr>
        <w:t xml:space="preserve">Порода на критическом уровне: </w:t>
      </w:r>
      <w:r w:rsidRPr="000C1256">
        <w:rPr>
          <w:rFonts w:eastAsia="Calibri" w:cs="Times New Roman"/>
          <w:szCs w:val="24"/>
        </w:rPr>
        <w:t>Порода классифицируется как относящаяся к критическому уровню, если:</w:t>
      </w:r>
    </w:p>
    <w:p w:rsidR="000C1256" w:rsidRPr="000C1256" w:rsidRDefault="000C1256" w:rsidP="000C1256">
      <w:pPr>
        <w:numPr>
          <w:ilvl w:val="0"/>
          <w:numId w:val="40"/>
        </w:numPr>
        <w:spacing w:after="160" w:line="259" w:lineRule="auto"/>
        <w:contextualSpacing/>
        <w:jc w:val="left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общее количество размножающихся самок меньше или равно 100 (300 для видов с низкой репродуктивной способностью); или</w:t>
      </w:r>
    </w:p>
    <w:p w:rsidR="000C1256" w:rsidRPr="000C1256" w:rsidRDefault="000C1256" w:rsidP="000C1256">
      <w:pPr>
        <w:numPr>
          <w:ilvl w:val="0"/>
          <w:numId w:val="40"/>
        </w:numPr>
        <w:spacing w:after="160" w:line="259" w:lineRule="auto"/>
        <w:contextualSpacing/>
        <w:jc w:val="left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общее количество популяции меньше или равна 80 (240), а динамика популяции растет, и доля вязок самок и самцов той же породы больше 80 процентов (т.е. доля скрещивания равна или меньше 20 процентов); или</w:t>
      </w:r>
    </w:p>
    <w:p w:rsidR="000C1256" w:rsidRPr="000C1256" w:rsidRDefault="000C1256" w:rsidP="000C1256">
      <w:pPr>
        <w:numPr>
          <w:ilvl w:val="0"/>
          <w:numId w:val="40"/>
        </w:numPr>
        <w:spacing w:after="160" w:line="259" w:lineRule="auto"/>
        <w:contextualSpacing/>
        <w:jc w:val="left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общее количество популяции меньше или равна 120 (360), а динамика популяции стабильна или снижается; или</w:t>
      </w:r>
    </w:p>
    <w:p w:rsidR="000C1256" w:rsidRPr="000C1256" w:rsidRDefault="000C1256" w:rsidP="000C1256">
      <w:pPr>
        <w:numPr>
          <w:ilvl w:val="0"/>
          <w:numId w:val="40"/>
        </w:numPr>
        <w:spacing w:after="160" w:line="259" w:lineRule="auto"/>
        <w:contextualSpacing/>
        <w:jc w:val="left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общее количество размножающихся самцов меньше или равно пяти (т.е. ΔF составляет 3 процента или выше).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 xml:space="preserve">Если динамика популяции неизвестна, то предполагается, что она стабильна. </w:t>
      </w:r>
      <w:proofErr w:type="gramStart"/>
      <w:r w:rsidRPr="000C1256">
        <w:rPr>
          <w:rFonts w:eastAsia="Calibri" w:cs="Times New Roman"/>
          <w:szCs w:val="24"/>
        </w:rPr>
        <w:t xml:space="preserve">Породы, демографические характеристики которых, предполагают критический риск исчезновения, но для которых действуют активные программы сохранения (включая </w:t>
      </w:r>
      <w:proofErr w:type="spellStart"/>
      <w:r w:rsidRPr="000C1256">
        <w:rPr>
          <w:rFonts w:eastAsia="Calibri" w:cs="Times New Roman"/>
          <w:szCs w:val="24"/>
        </w:rPr>
        <w:t>криоконсервацию</w:t>
      </w:r>
      <w:proofErr w:type="spellEnd"/>
      <w:r w:rsidRPr="000C1256">
        <w:rPr>
          <w:rFonts w:eastAsia="Calibri" w:cs="Times New Roman"/>
          <w:szCs w:val="24"/>
        </w:rPr>
        <w:t xml:space="preserve">), или популяции, которые поддерживаются коммерческими </w:t>
      </w:r>
      <w:r w:rsidRPr="000C1256">
        <w:rPr>
          <w:rFonts w:eastAsia="Calibri" w:cs="Times New Roman"/>
          <w:szCs w:val="24"/>
        </w:rPr>
        <w:lastRenderedPageBreak/>
        <w:t>компаниями или исследовательскими учреждениями, рассматриваются как «критический уровень с поддержкой» для целей отчетности.</w:t>
      </w:r>
      <w:proofErr w:type="gramEnd"/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b/>
          <w:szCs w:val="24"/>
        </w:rPr>
        <w:t>Порода под угрозой исчезновения</w:t>
      </w:r>
      <w:r w:rsidRPr="000C1256">
        <w:rPr>
          <w:rFonts w:eastAsia="Calibri" w:cs="Times New Roman"/>
          <w:szCs w:val="24"/>
        </w:rPr>
        <w:t>: породу классифицируют как находящуюся под угрозой исчезновения, если:</w:t>
      </w:r>
    </w:p>
    <w:p w:rsidR="000C1256" w:rsidRPr="000C1256" w:rsidRDefault="000C1256" w:rsidP="000C1256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общее количество размножающихся самок превышает 100 (300 для видов с низкой репродуктивной способностью) и меньше или равно 1 000 (3 000), или</w:t>
      </w:r>
    </w:p>
    <w:p w:rsidR="000C1256" w:rsidRPr="000C1256" w:rsidRDefault="000C1256" w:rsidP="000C1256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общее количество популяции превышает 80 (240) и менее 800 (2400) и увеличивается, а доля вязок самок с самцами той же породы выше 80 процентов; или</w:t>
      </w:r>
    </w:p>
    <w:p w:rsidR="000C1256" w:rsidRPr="000C1256" w:rsidRDefault="000C1256" w:rsidP="000C1256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общее количество популяции больше 120 (360) и меньше или равна 1 200 (3 600) и динамика популяции стабильна или снижается; или</w:t>
      </w:r>
    </w:p>
    <w:p w:rsidR="000C1256" w:rsidRPr="000C1256" w:rsidRDefault="000C1256" w:rsidP="000C1256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общее количество размножающихся самцов меньше или равно 20 и больше пяти (т.е. ΔF составляет от 1 до 3 процентов)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Опять же, если динамика популяции неизвестна, то предполагается, что она стабильна. Породы, находящиеся под угрозой исчезновения, будут отнесены к подкатегории «под угрозой исчезновения с поддержкой», если действуют активные программы сохранения или если их популяции поддерживаются коммерческими компании или исследовательскими учреждениями.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b/>
          <w:szCs w:val="24"/>
        </w:rPr>
        <w:t xml:space="preserve">Уязвимая порода: </w:t>
      </w:r>
      <w:r w:rsidRPr="000C1256">
        <w:rPr>
          <w:rFonts w:eastAsia="Calibri" w:cs="Times New Roman"/>
          <w:szCs w:val="24"/>
        </w:rPr>
        <w:t>Порода считается уязвимой, если:</w:t>
      </w:r>
    </w:p>
    <w:p w:rsidR="000C1256" w:rsidRPr="000C1256" w:rsidRDefault="000C1256" w:rsidP="000C1256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общее количество размножающихся самок составляет от 1 000 до 2 000 (от 3 000 до 6 000 для видов с низкой репродуктивной способностью); или</w:t>
      </w:r>
    </w:p>
    <w:p w:rsidR="000C1256" w:rsidRPr="000C1256" w:rsidRDefault="000C1256" w:rsidP="000C1256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 xml:space="preserve">общее количество популяции больше 800 (2 400) и меньше или равна 1 600 (4 800) и увеличивается, а доля вязок самок с самцами той же породы превышает 80 процентов; или </w:t>
      </w:r>
    </w:p>
    <w:p w:rsidR="000C1256" w:rsidRPr="000C1256" w:rsidRDefault="000C1256" w:rsidP="000C1256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 xml:space="preserve">общее количество популяции превышает 1 200 (3 600) и меньше или равна 2 400 (7 200), но динамика стабильна или снижается; или </w:t>
      </w:r>
    </w:p>
    <w:p w:rsidR="000C1256" w:rsidRPr="000C1256" w:rsidRDefault="000C1256" w:rsidP="000C1256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 xml:space="preserve">общее количество размножающихся самцов составляет от 20 до 35 (т.е. ΔF находится в пределах 0,5 и 1 процента). 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Если динамика популяции неизвестна, то предполагается, что она стабильна.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b/>
          <w:szCs w:val="24"/>
        </w:rPr>
        <w:t>Порода, не подверженная риску</w:t>
      </w:r>
      <w:r w:rsidRPr="000C1256">
        <w:rPr>
          <w:rFonts w:eastAsia="Calibri" w:cs="Times New Roman"/>
          <w:szCs w:val="24"/>
        </w:rPr>
        <w:t>. Порода классифицируется как не подверженная риску, если известен статус популяции и порода не попадает в критическую или находящуюся под угрозой исчезновения категории (включая соответствующие подкатегории) или уязвимую категорию.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b/>
          <w:szCs w:val="24"/>
        </w:rPr>
        <w:t>Не установлено.</w:t>
      </w:r>
      <w:r w:rsidRPr="000C1256">
        <w:rPr>
          <w:rFonts w:eastAsia="Calibri" w:cs="Times New Roman"/>
          <w:szCs w:val="24"/>
        </w:rPr>
        <w:t xml:space="preserve"> Эта категория не требует пояснений и подразумевает принятие мер. Требуется обследование популяции; порода относится к критическому уровню, находящейся под угрозой исчезновения или уязвимой.</w:t>
      </w:r>
    </w:p>
    <w:p w:rsidR="000C1256" w:rsidRPr="000C1256" w:rsidRDefault="000C1256" w:rsidP="000C1256">
      <w:pPr>
        <w:numPr>
          <w:ilvl w:val="0"/>
          <w:numId w:val="42"/>
        </w:numPr>
        <w:spacing w:after="160" w:line="259" w:lineRule="auto"/>
        <w:contextualSpacing/>
        <w:jc w:val="left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Порода считается подверженной риску, если она была классифицирована как относящаяся к критическому уровню, критическому уровню с поддержкой, под угрозой исчезновения или под угрозой исчезновения с поддержкой.</w:t>
      </w: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  <w:r w:rsidRPr="000C1256">
        <w:rPr>
          <w:rFonts w:eastAsia="Calibri" w:cs="Times New Roman"/>
          <w:szCs w:val="24"/>
        </w:rPr>
        <w:t>Показатель рассчитывается следующим образом:</w:t>
      </w:r>
    </w:p>
    <w:p w:rsid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</w:p>
    <w:tbl>
      <w:tblPr>
        <w:tblStyle w:val="aa"/>
        <w:tblW w:w="5985" w:type="dxa"/>
        <w:tblInd w:w="360" w:type="dxa"/>
        <w:tblLook w:val="04A0" w:firstRow="1" w:lastRow="0" w:firstColumn="1" w:lastColumn="0" w:noHBand="0" w:noVBand="1"/>
      </w:tblPr>
      <w:tblGrid>
        <w:gridCol w:w="3576"/>
        <w:gridCol w:w="2409"/>
      </w:tblGrid>
      <w:tr w:rsidR="000C1256" w:rsidRPr="000C1256" w:rsidTr="00472DD0">
        <w:tc>
          <w:tcPr>
            <w:tcW w:w="3576" w:type="dxa"/>
          </w:tcPr>
          <w:p w:rsidR="000C1256" w:rsidRPr="000C1256" w:rsidRDefault="000C1256" w:rsidP="000C1256">
            <w:pPr>
              <w:jc w:val="left"/>
              <w:rPr>
                <w:rFonts w:eastAsia="Calibri" w:cs="Times New Roman"/>
                <w:b/>
                <w:szCs w:val="24"/>
                <w:lang w:val="en-US"/>
              </w:rPr>
            </w:pPr>
            <w:proofErr w:type="spellStart"/>
            <w:r w:rsidRPr="000C1256">
              <w:rPr>
                <w:rFonts w:eastAsia="Calibri" w:cs="Times New Roman"/>
                <w:b/>
                <w:szCs w:val="24"/>
                <w:lang w:val="en-US"/>
              </w:rPr>
              <w:lastRenderedPageBreak/>
              <w:t>Статус</w:t>
            </w:r>
            <w:proofErr w:type="spellEnd"/>
            <w:r w:rsidRPr="000C1256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C1256">
              <w:rPr>
                <w:rFonts w:eastAsia="Calibri" w:cs="Times New Roman"/>
                <w:b/>
                <w:szCs w:val="24"/>
                <w:lang w:val="en-US"/>
              </w:rPr>
              <w:t>риска</w:t>
            </w:r>
            <w:proofErr w:type="spellEnd"/>
            <w:r w:rsidRPr="000C1256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C1256">
              <w:rPr>
                <w:rFonts w:eastAsia="Calibri" w:cs="Times New Roman"/>
                <w:b/>
                <w:szCs w:val="24"/>
                <w:lang w:val="en-US"/>
              </w:rPr>
              <w:t>местных</w:t>
            </w:r>
            <w:proofErr w:type="spellEnd"/>
            <w:r w:rsidRPr="000C1256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C1256">
              <w:rPr>
                <w:rFonts w:eastAsia="Calibri" w:cs="Times New Roman"/>
                <w:b/>
                <w:szCs w:val="24"/>
                <w:lang w:val="en-US"/>
              </w:rPr>
              <w:t>пород</w:t>
            </w:r>
            <w:proofErr w:type="spellEnd"/>
          </w:p>
        </w:tc>
        <w:tc>
          <w:tcPr>
            <w:tcW w:w="2409" w:type="dxa"/>
          </w:tcPr>
          <w:p w:rsidR="000C1256" w:rsidRPr="000C1256" w:rsidRDefault="000C1256" w:rsidP="000C1256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0C1256">
              <w:rPr>
                <w:rFonts w:eastAsia="Calibri" w:cs="Times New Roman"/>
                <w:b/>
                <w:szCs w:val="24"/>
              </w:rPr>
              <w:t>Количество</w:t>
            </w:r>
          </w:p>
        </w:tc>
      </w:tr>
      <w:tr w:rsidR="000C1256" w:rsidRPr="000C1256" w:rsidTr="00472DD0">
        <w:tc>
          <w:tcPr>
            <w:tcW w:w="3576" w:type="dxa"/>
          </w:tcPr>
          <w:p w:rsidR="000C1256" w:rsidRPr="000C1256" w:rsidRDefault="000C1256" w:rsidP="000C1256">
            <w:pPr>
              <w:jc w:val="left"/>
              <w:rPr>
                <w:rFonts w:eastAsia="Calibri" w:cs="Times New Roman"/>
                <w:szCs w:val="24"/>
              </w:rPr>
            </w:pPr>
            <w:proofErr w:type="gramStart"/>
            <w:r w:rsidRPr="000C1256">
              <w:rPr>
                <w:rFonts w:eastAsia="Calibri" w:cs="Times New Roman"/>
                <w:szCs w:val="24"/>
              </w:rPr>
              <w:t>Подверженная</w:t>
            </w:r>
            <w:proofErr w:type="gramEnd"/>
            <w:r w:rsidRPr="000C1256">
              <w:rPr>
                <w:rFonts w:eastAsia="Calibri" w:cs="Times New Roman"/>
                <w:szCs w:val="24"/>
              </w:rPr>
              <w:t xml:space="preserve"> риску</w:t>
            </w:r>
          </w:p>
        </w:tc>
        <w:tc>
          <w:tcPr>
            <w:tcW w:w="2409" w:type="dxa"/>
          </w:tcPr>
          <w:p w:rsidR="000C1256" w:rsidRPr="000C1256" w:rsidRDefault="000C1256" w:rsidP="000C1256">
            <w:pPr>
              <w:jc w:val="left"/>
              <w:rPr>
                <w:rFonts w:eastAsia="Calibri" w:cs="Times New Roman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</w:tr>
      <w:tr w:rsidR="000C1256" w:rsidRPr="000C1256" w:rsidTr="00472DD0">
        <w:tc>
          <w:tcPr>
            <w:tcW w:w="3576" w:type="dxa"/>
          </w:tcPr>
          <w:p w:rsidR="000C1256" w:rsidRPr="000C1256" w:rsidRDefault="000C1256" w:rsidP="000C1256">
            <w:pPr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0C1256">
              <w:rPr>
                <w:rFonts w:eastAsia="Calibri" w:cs="Times New Roman"/>
                <w:szCs w:val="24"/>
              </w:rPr>
              <w:t xml:space="preserve">Не </w:t>
            </w:r>
            <w:proofErr w:type="gramStart"/>
            <w:r w:rsidRPr="000C1256">
              <w:rPr>
                <w:rFonts w:eastAsia="Calibri" w:cs="Times New Roman"/>
                <w:szCs w:val="24"/>
              </w:rPr>
              <w:t>подверженная</w:t>
            </w:r>
            <w:proofErr w:type="gramEnd"/>
            <w:r w:rsidRPr="000C1256">
              <w:rPr>
                <w:rFonts w:eastAsia="Calibri" w:cs="Times New Roman"/>
                <w:szCs w:val="24"/>
              </w:rPr>
              <w:t xml:space="preserve"> риску</w:t>
            </w:r>
          </w:p>
        </w:tc>
        <w:tc>
          <w:tcPr>
            <w:tcW w:w="2409" w:type="dxa"/>
          </w:tcPr>
          <w:p w:rsidR="000C1256" w:rsidRPr="000C1256" w:rsidRDefault="000C1256" w:rsidP="000C1256">
            <w:pPr>
              <w:jc w:val="left"/>
              <w:rPr>
                <w:rFonts w:eastAsia="Calibri" w:cs="Times New Roman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NR</m:t>
                    </m:r>
                  </m:sub>
                </m:sSub>
              </m:oMath>
            </m:oMathPara>
          </w:p>
        </w:tc>
      </w:tr>
      <w:tr w:rsidR="000C1256" w:rsidRPr="000C1256" w:rsidTr="00472DD0">
        <w:tc>
          <w:tcPr>
            <w:tcW w:w="3576" w:type="dxa"/>
          </w:tcPr>
          <w:p w:rsidR="000C1256" w:rsidRPr="000C1256" w:rsidRDefault="000C1256" w:rsidP="000C1256">
            <w:pPr>
              <w:jc w:val="left"/>
              <w:rPr>
                <w:rFonts w:eastAsia="Calibri" w:cs="Times New Roman"/>
                <w:szCs w:val="24"/>
              </w:rPr>
            </w:pPr>
            <w:r w:rsidRPr="000C1256">
              <w:rPr>
                <w:rFonts w:eastAsia="Calibri" w:cs="Times New Roman"/>
                <w:szCs w:val="24"/>
              </w:rPr>
              <w:t>Не установлено</w:t>
            </w:r>
          </w:p>
        </w:tc>
        <w:tc>
          <w:tcPr>
            <w:tcW w:w="2409" w:type="dxa"/>
          </w:tcPr>
          <w:p w:rsidR="000C1256" w:rsidRPr="000C1256" w:rsidRDefault="000C1256" w:rsidP="000C1256">
            <w:pPr>
              <w:jc w:val="left"/>
              <w:rPr>
                <w:rFonts w:eastAsia="Calibri" w:cs="Times New Roman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U</m:t>
                    </m:r>
                  </m:sub>
                </m:sSub>
              </m:oMath>
            </m:oMathPara>
          </w:p>
        </w:tc>
      </w:tr>
      <w:tr w:rsidR="000C1256" w:rsidRPr="000C1256" w:rsidTr="00472DD0">
        <w:tc>
          <w:tcPr>
            <w:tcW w:w="3576" w:type="dxa"/>
          </w:tcPr>
          <w:p w:rsidR="000C1256" w:rsidRPr="000C1256" w:rsidRDefault="000C1256" w:rsidP="000C1256">
            <w:pPr>
              <w:jc w:val="left"/>
              <w:rPr>
                <w:rFonts w:eastAsia="Calibri" w:cs="Times New Roman"/>
                <w:szCs w:val="24"/>
              </w:rPr>
            </w:pPr>
            <w:r w:rsidRPr="000C1256">
              <w:rPr>
                <w:rFonts w:eastAsia="Calibri" w:cs="Times New Roman"/>
                <w:szCs w:val="24"/>
              </w:rPr>
              <w:t>Все классы рисков</w:t>
            </w:r>
          </w:p>
        </w:tc>
        <w:tc>
          <w:tcPr>
            <w:tcW w:w="2409" w:type="dxa"/>
          </w:tcPr>
          <w:p w:rsidR="000C1256" w:rsidRPr="000C1256" w:rsidRDefault="000C1256" w:rsidP="000C1256">
            <w:pPr>
              <w:jc w:val="left"/>
              <w:rPr>
                <w:rFonts w:eastAsia="Calibri" w:cs="Times New Roman"/>
                <w:b/>
                <w:i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Cs w:val="24"/>
                    <w:lang w:val="en-US"/>
                  </w:rPr>
                  <m:t>n=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NR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U</m:t>
                    </m:r>
                  </m:sub>
                </m:sSub>
              </m:oMath>
            </m:oMathPara>
          </w:p>
        </w:tc>
      </w:tr>
    </w:tbl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szCs w:val="24"/>
        </w:rPr>
      </w:pPr>
    </w:p>
    <w:p w:rsidR="000C1256" w:rsidRPr="000C1256" w:rsidRDefault="000C1256" w:rsidP="000C1256">
      <w:pPr>
        <w:spacing w:after="160" w:line="259" w:lineRule="auto"/>
        <w:jc w:val="left"/>
        <w:rPr>
          <w:rFonts w:eastAsia="Times New Roman" w:cs="Times New Roman"/>
          <w:b/>
          <w:szCs w:val="24"/>
        </w:rPr>
      </w:pPr>
      <w:r w:rsidRPr="000C1256">
        <w:rPr>
          <w:rFonts w:eastAsia="Calibri" w:cs="Times New Roman"/>
          <w:b/>
          <w:szCs w:val="24"/>
        </w:rPr>
        <w:t xml:space="preserve">Показатель ЦУР для страны </w:t>
      </w:r>
      <w:proofErr w:type="spellStart"/>
      <w:r w:rsidRPr="000C1256">
        <w:rPr>
          <w:rFonts w:eastAsia="Calibri" w:cs="Times New Roman"/>
          <w:b/>
          <w:szCs w:val="24"/>
          <w:lang w:val="en-GB"/>
        </w:rPr>
        <w:t>i</w:t>
      </w:r>
      <w:proofErr w:type="spellEnd"/>
      <w:r w:rsidRPr="000C1256">
        <w:rPr>
          <w:rFonts w:eastAsia="Calibri" w:cs="Times New Roman"/>
          <w:b/>
          <w:szCs w:val="24"/>
        </w:rPr>
        <w:t xml:space="preserve">: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Cs w:val="24"/>
                <w:lang w:val="en-GB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Cs w:val="24"/>
                <w:lang w:val="en-GB"/>
              </w:rPr>
              <m:t>i</m:t>
            </m:r>
          </m:sub>
        </m:sSub>
      </m:oMath>
    </w:p>
    <w:p w:rsidR="000C1256" w:rsidRPr="000C1256" w:rsidRDefault="000C1256" w:rsidP="000C1256">
      <w:pPr>
        <w:spacing w:after="160" w:line="259" w:lineRule="auto"/>
        <w:jc w:val="left"/>
        <w:rPr>
          <w:rFonts w:eastAsia="Calibri" w:cs="Times New Roman"/>
          <w:b/>
          <w:szCs w:val="24"/>
        </w:rPr>
      </w:pPr>
    </w:p>
    <w:p w:rsidR="000C1256" w:rsidRPr="000C1256" w:rsidRDefault="000C1256" w:rsidP="000C1256">
      <w:pPr>
        <w:spacing w:after="160" w:line="259" w:lineRule="auto"/>
        <w:ind w:left="720"/>
        <w:contextualSpacing/>
        <w:jc w:val="left"/>
        <w:rPr>
          <w:rFonts w:eastAsia="Times New Roman" w:cs="Times New Roman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Ri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Ri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NRi</m:t>
                  </m:r>
                </m:sub>
              </m:sSub>
            </m:den>
          </m:f>
        </m:oMath>
      </m:oMathPara>
    </w:p>
    <w:p w:rsidR="000C1256" w:rsidRPr="000C1256" w:rsidRDefault="000C1256" w:rsidP="000C1256">
      <w:pPr>
        <w:spacing w:after="160" w:line="259" w:lineRule="auto"/>
        <w:rPr>
          <w:rFonts w:eastAsia="Calibri" w:cs="Times New Roman"/>
          <w:b/>
          <w:szCs w:val="24"/>
        </w:rPr>
      </w:pPr>
    </w:p>
    <w:p w:rsidR="002E15F9" w:rsidRPr="00BD29EC" w:rsidRDefault="002E15F9" w:rsidP="00995788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A59AC" w:rsidRDefault="002A59AC" w:rsidP="002A59AC">
      <w:r w:rsidRPr="002A59AC">
        <w:t>Согласованность данных, загруженных для расчета статуса риска, автоматически проверяется DAD-IS (например, количество женщин, не превышающее общую численность популяции).</w:t>
      </w:r>
    </w:p>
    <w:p w:rsidR="002E15F9" w:rsidRPr="00BD29EC" w:rsidRDefault="002E15F9" w:rsidP="00995788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727DFA" w:rsidRDefault="00727DFA" w:rsidP="00727DFA">
      <w:r>
        <w:t xml:space="preserve">Не применимо. </w:t>
      </w:r>
    </w:p>
    <w:p w:rsidR="002E15F9" w:rsidRPr="00BD29EC" w:rsidRDefault="002E15F9" w:rsidP="00995788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A59AC" w:rsidRDefault="002A59AC" w:rsidP="001F3BB3">
      <w:r w:rsidRPr="002A59AC">
        <w:t>Если данные о популяции за соответствующий год не представлены, предполагается, что статус риска остается таким же, как и за последний год, за который были представлены данные о популяции. В этом случае характер данных считается оценочным. Однако если последняя отчетность относится к году, предшествующему более чем 10-летнему периоду, статус риска считается «не уставленным».</w:t>
      </w:r>
    </w:p>
    <w:p w:rsidR="00647C5F" w:rsidRDefault="00647C5F" w:rsidP="001F3BB3">
      <w:r w:rsidRPr="00017B67">
        <w:t>• На уровне страны</w:t>
      </w:r>
    </w:p>
    <w:p w:rsidR="002A59AC" w:rsidRPr="002A59AC" w:rsidRDefault="002A59AC" w:rsidP="002A59AC">
      <w:r w:rsidRPr="002A59AC">
        <w:t>Информация о стране считается отсутствующей, если 100% местных пород страны действительно имеют статус риска «не установлено». Если 100% значений статуса риска пород в стране являются оценочными (см. выше), характер данных по стране также считается оценочным.</w:t>
      </w:r>
    </w:p>
    <w:p w:rsidR="00647C5F" w:rsidRDefault="00647C5F" w:rsidP="001F3BB3">
      <w:r w:rsidRPr="00017B67">
        <w:t>• На региональном и глобальном уровнях</w:t>
      </w:r>
    </w:p>
    <w:p w:rsidR="002A59AC" w:rsidRDefault="002A59AC" w:rsidP="002A59AC">
      <w:r w:rsidRPr="002A59AC">
        <w:t>См. правила агрегации в разделе 4.g.</w:t>
      </w:r>
    </w:p>
    <w:p w:rsidR="00727DFA" w:rsidRDefault="002E15F9" w:rsidP="00647C5F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2A59AC" w:rsidRPr="00492394" w:rsidRDefault="002A59AC" w:rsidP="002A59AC">
      <w:pPr>
        <w:rPr>
          <w:rFonts w:cs="Times New Roman"/>
          <w:szCs w:val="24"/>
        </w:rPr>
      </w:pPr>
      <w:r w:rsidRPr="00492394">
        <w:rPr>
          <w:rFonts w:cs="Times New Roman"/>
          <w:szCs w:val="24"/>
        </w:rPr>
        <w:t xml:space="preserve">Агрегированный показатель ЦУР </w:t>
      </w:r>
      <w:proofErr w:type="spellStart"/>
      <w:r w:rsidRPr="00492394">
        <w:rPr>
          <w:rFonts w:cs="Times New Roman"/>
          <w:szCs w:val="24"/>
        </w:rPr>
        <w:t>Pj</w:t>
      </w:r>
      <w:proofErr w:type="spellEnd"/>
      <w:r w:rsidRPr="00492394">
        <w:rPr>
          <w:rFonts w:cs="Times New Roman"/>
          <w:szCs w:val="24"/>
        </w:rPr>
        <w:t xml:space="preserve"> для k стран (с хотя бы одной местной породой с известным статусом риска) в регионе j с общим количеством местных пород в k странах: </w:t>
      </w:r>
      <m:oMath>
        <m:r>
          <w:rPr>
            <w:rFonts w:ascii="Cambria Math" w:hAnsi="Cambria Math" w:cs="Times New Roman"/>
            <w:color w:val="4A4A4A"/>
            <w:szCs w:val="24"/>
          </w:rPr>
          <m:t>N=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4A4A4A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4A4A4A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color w:val="4A4A4A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4A4A4A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4A4A4A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4A4A4A"/>
                    <w:szCs w:val="24"/>
                  </w:rPr>
                  <m:t>i</m:t>
                </m:r>
              </m:sub>
            </m:sSub>
          </m:e>
        </m:nary>
      </m:oMath>
    </w:p>
    <w:p w:rsidR="002A59AC" w:rsidRPr="00492394" w:rsidRDefault="002A59AC" w:rsidP="002A59AC">
      <w:pPr>
        <w:rPr>
          <w:rFonts w:cs="Times New Roman"/>
          <w:color w:val="4A4A4A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4A4A4A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4A4A4A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color w:val="4A4A4A"/>
                <w:szCs w:val="24"/>
              </w:rPr>
              <m:t>j</m:t>
            </m:r>
          </m:sub>
        </m:sSub>
      </m:oMath>
      <w:r w:rsidRPr="00492394">
        <w:rPr>
          <w:rFonts w:cs="Times New Roman"/>
          <w:color w:val="4A4A4A"/>
          <w:szCs w:val="24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4A4A4A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4A4A4A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color w:val="4A4A4A"/>
                <w:szCs w:val="24"/>
              </w:rPr>
              <m:t>k</m:t>
            </m:r>
          </m:sup>
          <m:e>
            <m:r>
              <w:rPr>
                <w:rFonts w:ascii="Cambria Math" w:hAnsi="Cambria Math" w:cs="Times New Roman"/>
                <w:color w:val="4A4A4A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4A4A4A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4A4A4A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4A4A4A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color w:val="4A4A4A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color w:val="4A4A4A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4A4A4A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4A4A4A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4A4A4A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4A4A4A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color w:val="4A4A4A"/>
            <w:szCs w:val="24"/>
          </w:rPr>
          <m:t>)</m:t>
        </m:r>
      </m:oMath>
    </w:p>
    <w:p w:rsidR="002A59AC" w:rsidRDefault="002A59AC" w:rsidP="002A59AC">
      <w:pPr>
        <w:rPr>
          <w:rFonts w:cs="Times New Roman"/>
          <w:szCs w:val="24"/>
        </w:rPr>
      </w:pPr>
      <w:r>
        <w:rPr>
          <w:rFonts w:cs="Times New Roman"/>
          <w:szCs w:val="24"/>
        </w:rPr>
        <w:t>Региональные</w:t>
      </w:r>
      <w:r w:rsidRPr="00492394">
        <w:rPr>
          <w:rFonts w:cs="Times New Roman"/>
          <w:szCs w:val="24"/>
        </w:rPr>
        <w:t xml:space="preserve"> и глобальные результаты сообщаются только в том случае, если не пропущено более 50% стран в соответствующем регионе или во всем мире</w:t>
      </w:r>
      <w:r>
        <w:rPr>
          <w:rFonts w:cs="Times New Roman"/>
          <w:szCs w:val="24"/>
        </w:rPr>
        <w:t>.</w:t>
      </w:r>
    </w:p>
    <w:p w:rsidR="002E15F9" w:rsidRDefault="002E15F9" w:rsidP="00995788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A59AC" w:rsidRPr="002A59AC" w:rsidRDefault="002A59AC" w:rsidP="002A59AC">
      <w:r w:rsidRPr="002A59AC">
        <w:t>Перепись поголовья скота на уровне породы или данные, полученные из национальных племенных книг или национальных обследований.</w:t>
      </w:r>
    </w:p>
    <w:p w:rsidR="002A59AC" w:rsidRDefault="002A59AC" w:rsidP="002A59AC">
      <w:r w:rsidRPr="002A59AC">
        <w:t>ФАО, 2011, Обследование и мониторинг генетических ресурсов животных; Руководство ФАО по животноводству и охране здоровья животных, № 7, Рим</w:t>
      </w:r>
      <w:proofErr w:type="gramStart"/>
      <w:r w:rsidRPr="002A59AC">
        <w:t>.</w:t>
      </w:r>
      <w:proofErr w:type="gramEnd"/>
      <w:r w:rsidRPr="002A59AC">
        <w:t xml:space="preserve"> (</w:t>
      </w:r>
      <w:proofErr w:type="gramStart"/>
      <w:r w:rsidRPr="002A59AC">
        <w:t>д</w:t>
      </w:r>
      <w:proofErr w:type="gramEnd"/>
      <w:r w:rsidRPr="002A59AC">
        <w:t xml:space="preserve">оступно по ссылке: </w:t>
      </w:r>
      <w:hyperlink r:id="rId16" w:history="1">
        <w:r w:rsidRPr="0021035E">
          <w:rPr>
            <w:rStyle w:val="ac"/>
          </w:rPr>
          <w:t>http://www.fao.org/docrep/014/ba0055e/ba0055e00.htm</w:t>
        </w:r>
      </w:hyperlink>
      <w:r w:rsidRPr="002A59AC">
        <w:t>)</w:t>
      </w:r>
    </w:p>
    <w:p w:rsidR="002E15F9" w:rsidRDefault="002E15F9" w:rsidP="002A59AC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A59AC" w:rsidRDefault="002A59AC" w:rsidP="002A59AC">
      <w:r w:rsidRPr="002A59AC">
        <w:t>ФАО регулярно проводит обучение национальных координаторов сбору данных и вводу данных в официальную систему DAD-IS. Сами показатели автоматически рассчитываются в DAD-IS. При загрузке в DAD-IS выполняется автоматическая проверка согласованности данных.</w:t>
      </w:r>
    </w:p>
    <w:p w:rsidR="002E15F9" w:rsidRDefault="002E15F9" w:rsidP="00995788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2A59AC" w:rsidRPr="002A59AC" w:rsidRDefault="002A59AC" w:rsidP="002A59AC">
      <w:r w:rsidRPr="002A59AC">
        <w:t>Описано в разделе 7 ФАО, 2011, Обследование и мониторинг генетических ресурсов животных; Руководство ФАО по животноводству и охране здоровья животных, № 7, Рим. (Доступно по ссылке: http://www.fao.org/docrep/014/ba0055e/ba0055e00.htm)</w:t>
      </w:r>
    </w:p>
    <w:p w:rsidR="002A59AC" w:rsidRDefault="002A59AC" w:rsidP="002A59AC">
      <w:r w:rsidRPr="002A59AC">
        <w:t>Руководство было представлено и одобрено Комиссией по генетическим ресурсам для производства продовольствия и ведения сельского хозяйства на тринадцатой очередной сессии в июле 2011 г.</w:t>
      </w:r>
    </w:p>
    <w:p w:rsidR="002E15F9" w:rsidRDefault="0075371E" w:rsidP="002A59AC">
      <w:pPr>
        <w:pStyle w:val="MHeader"/>
        <w:rPr>
          <w:b/>
          <w:color w:val="auto"/>
          <w:sz w:val="24"/>
          <w:lang w:val="ru-RU"/>
        </w:rPr>
      </w:pPr>
      <w:r w:rsidRPr="00B667DF">
        <w:rPr>
          <w:b/>
          <w:color w:val="auto"/>
          <w:sz w:val="24"/>
          <w:lang w:val="ru-RU"/>
        </w:rPr>
        <w:t>4.</w:t>
      </w:r>
      <w:r w:rsidRPr="00A508C5">
        <w:rPr>
          <w:b/>
          <w:color w:val="auto"/>
          <w:sz w:val="24"/>
        </w:rPr>
        <w:t>k</w:t>
      </w:r>
      <w:r w:rsidRPr="00B667DF">
        <w:rPr>
          <w:b/>
          <w:color w:val="auto"/>
          <w:sz w:val="24"/>
          <w:lang w:val="ru-RU"/>
        </w:rPr>
        <w:t xml:space="preserve">. Оценка качества </w:t>
      </w:r>
    </w:p>
    <w:p w:rsidR="002A59AC" w:rsidRDefault="002A59AC" w:rsidP="002A59AC">
      <w:r w:rsidRPr="002A59AC">
        <w:t>Каждый второй год ФАО организует глобальные семинары национальных координаторов для оценки и обсуждения сбора данных, на которых основан показатель. Сами показатели автоматически рассчитываются в DAD-IS.</w:t>
      </w:r>
    </w:p>
    <w:p w:rsidR="002E15F9" w:rsidRPr="00BD29EC" w:rsidRDefault="002E15F9" w:rsidP="00995788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577C9B" w:rsidRDefault="00577C9B" w:rsidP="002A59AC">
      <w:pPr>
        <w:rPr>
          <w:lang w:eastAsia="en-GB"/>
        </w:rPr>
      </w:pPr>
      <w:r w:rsidRPr="00577C9B">
        <w:rPr>
          <w:lang w:eastAsia="en-GB"/>
        </w:rPr>
        <w:t>Доступность данных:</w:t>
      </w:r>
    </w:p>
    <w:p w:rsidR="002A59AC" w:rsidRDefault="002A59AC" w:rsidP="002A59AC">
      <w:pPr>
        <w:rPr>
          <w:lang w:eastAsia="en-GB"/>
        </w:rPr>
      </w:pPr>
      <w:r w:rsidRPr="002A59AC">
        <w:rPr>
          <w:lang w:eastAsia="en-GB"/>
        </w:rPr>
        <w:t>Данные общедоступны через DAD-IS (см. http://dad.fao.org/).</w:t>
      </w:r>
    </w:p>
    <w:p w:rsidR="00577C9B" w:rsidRDefault="00577C9B" w:rsidP="002A59AC">
      <w:pPr>
        <w:rPr>
          <w:lang w:eastAsia="en-GB"/>
        </w:rPr>
      </w:pPr>
      <w:r w:rsidRPr="00577C9B">
        <w:rPr>
          <w:lang w:eastAsia="en-GB"/>
        </w:rPr>
        <w:t>Временные ряды:</w:t>
      </w:r>
    </w:p>
    <w:p w:rsidR="00577C9B" w:rsidRDefault="00577C9B" w:rsidP="002A59AC">
      <w:pPr>
        <w:rPr>
          <w:lang w:eastAsia="en-GB"/>
        </w:rPr>
      </w:pPr>
      <w:proofErr w:type="spellStart"/>
      <w:r>
        <w:rPr>
          <w:lang w:eastAsia="en-GB"/>
        </w:rPr>
        <w:t>Дезагрегация</w:t>
      </w:r>
      <w:proofErr w:type="spellEnd"/>
      <w:r w:rsidRPr="00577C9B">
        <w:rPr>
          <w:lang w:eastAsia="en-GB"/>
        </w:rPr>
        <w:t>:</w:t>
      </w:r>
    </w:p>
    <w:p w:rsidR="002A59AC" w:rsidRDefault="002A59AC" w:rsidP="002A59AC">
      <w:r w:rsidRPr="002A59AC">
        <w:t>Данные доступны по странам.</w:t>
      </w:r>
    </w:p>
    <w:p w:rsidR="002E15F9" w:rsidRDefault="002E15F9" w:rsidP="00995788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A59AC" w:rsidRDefault="002A59AC" w:rsidP="002A59AC">
      <w:r>
        <w:lastRenderedPageBreak/>
        <w:t>Данные недоступны.</w:t>
      </w:r>
    </w:p>
    <w:p w:rsidR="00040034" w:rsidRPr="001B0C4A" w:rsidRDefault="00040034" w:rsidP="00577C9B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1B0C4A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1B0C4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1B0C4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2A59AC" w:rsidRPr="002A59AC" w:rsidRDefault="002A59AC" w:rsidP="002A59AC">
      <w:pPr>
        <w:pStyle w:val="MText"/>
        <w:rPr>
          <w:color w:val="auto"/>
          <w:sz w:val="24"/>
          <w:szCs w:val="22"/>
          <w:lang w:val="ru-RU" w:eastAsia="fr-CH"/>
        </w:rPr>
      </w:pPr>
      <w:r w:rsidRPr="002A59AC">
        <w:rPr>
          <w:color w:val="auto"/>
          <w:sz w:val="24"/>
          <w:szCs w:val="22"/>
          <w:lang w:val="ru-RU" w:eastAsia="fr-CH"/>
        </w:rPr>
        <w:t>URL:</w:t>
      </w:r>
    </w:p>
    <w:p w:rsidR="002A59AC" w:rsidRDefault="002A59AC" w:rsidP="002A59AC">
      <w:pPr>
        <w:pStyle w:val="MText"/>
        <w:rPr>
          <w:color w:val="auto"/>
          <w:sz w:val="24"/>
          <w:szCs w:val="22"/>
          <w:lang w:val="ru-RU" w:eastAsia="fr-CH"/>
        </w:rPr>
      </w:pPr>
      <w:hyperlink r:id="rId17" w:history="1">
        <w:r w:rsidRPr="0021035E">
          <w:rPr>
            <w:rStyle w:val="ac"/>
            <w:sz w:val="24"/>
            <w:szCs w:val="22"/>
            <w:lang w:val="ru-RU" w:eastAsia="fr-CH"/>
          </w:rPr>
          <w:t>http://dad.fao.org/</w:t>
        </w:r>
      </w:hyperlink>
    </w:p>
    <w:p w:rsidR="002A59AC" w:rsidRPr="002A59AC" w:rsidRDefault="002A59AC" w:rsidP="002A59AC">
      <w:pPr>
        <w:pStyle w:val="MText"/>
        <w:rPr>
          <w:color w:val="auto"/>
          <w:sz w:val="24"/>
          <w:szCs w:val="22"/>
          <w:lang w:val="ru-RU" w:eastAsia="fr-CH"/>
        </w:rPr>
      </w:pPr>
    </w:p>
    <w:p w:rsidR="002A59AC" w:rsidRPr="002A59AC" w:rsidRDefault="002A59AC" w:rsidP="002A59AC">
      <w:pPr>
        <w:pStyle w:val="MText"/>
        <w:rPr>
          <w:color w:val="auto"/>
          <w:sz w:val="24"/>
          <w:szCs w:val="22"/>
          <w:lang w:val="ru-RU" w:eastAsia="fr-CH"/>
        </w:rPr>
      </w:pPr>
      <w:r>
        <w:rPr>
          <w:color w:val="auto"/>
          <w:sz w:val="24"/>
          <w:szCs w:val="22"/>
          <w:lang w:val="ru-RU" w:eastAsia="fr-CH"/>
        </w:rPr>
        <w:t>Использованные документы</w:t>
      </w:r>
      <w:r w:rsidRPr="002A59AC">
        <w:rPr>
          <w:color w:val="auto"/>
          <w:sz w:val="24"/>
          <w:szCs w:val="22"/>
          <w:lang w:val="ru-RU" w:eastAsia="fr-CH"/>
        </w:rPr>
        <w:t>:</w:t>
      </w:r>
    </w:p>
    <w:p w:rsidR="002A59AC" w:rsidRPr="002A59AC" w:rsidRDefault="002A59AC" w:rsidP="002A59AC">
      <w:pPr>
        <w:pStyle w:val="MText"/>
        <w:rPr>
          <w:color w:val="auto"/>
          <w:sz w:val="24"/>
          <w:szCs w:val="22"/>
          <w:lang w:val="ru-RU" w:eastAsia="fr-CH"/>
        </w:rPr>
      </w:pPr>
      <w:r>
        <w:rPr>
          <w:color w:val="auto"/>
          <w:sz w:val="24"/>
          <w:szCs w:val="22"/>
          <w:lang w:val="ru-RU" w:eastAsia="fr-CH"/>
        </w:rPr>
        <w:t>ФАО</w:t>
      </w:r>
      <w:r w:rsidRPr="002A59AC">
        <w:rPr>
          <w:color w:val="auto"/>
          <w:sz w:val="24"/>
          <w:szCs w:val="22"/>
          <w:lang w:val="ru-RU" w:eastAsia="fr-CH"/>
        </w:rPr>
        <w:t xml:space="preserve">. 2013. </w:t>
      </w:r>
      <w:r w:rsidRPr="002A59AC">
        <w:rPr>
          <w:color w:val="auto"/>
          <w:sz w:val="24"/>
          <w:szCs w:val="22"/>
          <w:lang w:val="ru-RU" w:eastAsia="fr-CH"/>
        </w:rPr>
        <w:t xml:space="preserve">Сохранение </w:t>
      </w:r>
      <w:r w:rsidRPr="002A59AC">
        <w:rPr>
          <w:color w:val="auto"/>
          <w:sz w:val="24"/>
          <w:szCs w:val="22"/>
          <w:lang w:val="en-US" w:eastAsia="fr-CH"/>
        </w:rPr>
        <w:t>in</w:t>
      </w:r>
      <w:r w:rsidRPr="002A59AC">
        <w:rPr>
          <w:color w:val="auto"/>
          <w:sz w:val="24"/>
          <w:szCs w:val="22"/>
          <w:lang w:val="ru-RU" w:eastAsia="fr-CH"/>
        </w:rPr>
        <w:t xml:space="preserve"> </w:t>
      </w:r>
      <w:r w:rsidRPr="002A59AC">
        <w:rPr>
          <w:color w:val="auto"/>
          <w:sz w:val="24"/>
          <w:szCs w:val="22"/>
          <w:lang w:val="en-US" w:eastAsia="fr-CH"/>
        </w:rPr>
        <w:t>vivo</w:t>
      </w:r>
      <w:r w:rsidRPr="002A59AC">
        <w:rPr>
          <w:color w:val="auto"/>
          <w:sz w:val="24"/>
          <w:szCs w:val="22"/>
          <w:lang w:val="ru-RU" w:eastAsia="fr-CH"/>
        </w:rPr>
        <w:t xml:space="preserve"> генетических ресурсов животных.</w:t>
      </w:r>
      <w:bookmarkStart w:id="5" w:name="_GoBack"/>
      <w:bookmarkEnd w:id="5"/>
    </w:p>
    <w:p w:rsidR="002A59AC" w:rsidRPr="002A59AC" w:rsidRDefault="002A59AC" w:rsidP="002A59AC">
      <w:pPr>
        <w:pStyle w:val="MText"/>
        <w:rPr>
          <w:color w:val="auto"/>
          <w:sz w:val="24"/>
          <w:szCs w:val="22"/>
          <w:lang w:val="en-US" w:eastAsia="fr-CH"/>
        </w:rPr>
      </w:pPr>
      <w:r>
        <w:rPr>
          <w:color w:val="auto"/>
          <w:sz w:val="24"/>
          <w:szCs w:val="22"/>
          <w:lang w:val="ru-RU" w:eastAsia="fr-CH"/>
        </w:rPr>
        <w:t>ФАО</w:t>
      </w:r>
      <w:r w:rsidRPr="002A59AC">
        <w:rPr>
          <w:color w:val="auto"/>
          <w:sz w:val="24"/>
          <w:szCs w:val="22"/>
          <w:lang w:val="ru-RU" w:eastAsia="fr-CH"/>
        </w:rPr>
        <w:t xml:space="preserve"> </w:t>
      </w:r>
      <w:r w:rsidRPr="002A59AC">
        <w:rPr>
          <w:color w:val="auto"/>
          <w:sz w:val="24"/>
          <w:szCs w:val="22"/>
          <w:lang w:val="ru-RU" w:eastAsia="fr-CH"/>
        </w:rPr>
        <w:t>Руководство по животноводству и здоровью животных</w:t>
      </w:r>
      <w:r w:rsidRPr="002A59AC">
        <w:rPr>
          <w:color w:val="auto"/>
          <w:sz w:val="24"/>
          <w:szCs w:val="22"/>
          <w:lang w:val="ru-RU" w:eastAsia="fr-CH"/>
        </w:rPr>
        <w:t xml:space="preserve">. </w:t>
      </w:r>
      <w:proofErr w:type="gramStart"/>
      <w:r w:rsidRPr="002A59AC">
        <w:rPr>
          <w:color w:val="auto"/>
          <w:sz w:val="24"/>
          <w:szCs w:val="22"/>
          <w:lang w:val="en-US" w:eastAsia="fr-CH"/>
        </w:rPr>
        <w:t>No. 14.</w:t>
      </w:r>
      <w:proofErr w:type="gramEnd"/>
      <w:r w:rsidRPr="002A59AC">
        <w:rPr>
          <w:color w:val="auto"/>
          <w:sz w:val="24"/>
          <w:szCs w:val="22"/>
          <w:lang w:val="en-US" w:eastAsia="fr-CH"/>
        </w:rPr>
        <w:t xml:space="preserve"> </w:t>
      </w:r>
      <w:r>
        <w:rPr>
          <w:color w:val="auto"/>
          <w:sz w:val="24"/>
          <w:szCs w:val="22"/>
          <w:lang w:val="ru-RU" w:eastAsia="fr-CH"/>
        </w:rPr>
        <w:t>Рим</w:t>
      </w:r>
      <w:r w:rsidRPr="002A59AC">
        <w:rPr>
          <w:color w:val="auto"/>
          <w:sz w:val="24"/>
          <w:szCs w:val="22"/>
          <w:lang w:val="en-US" w:eastAsia="fr-CH"/>
        </w:rPr>
        <w:t xml:space="preserve">. </w:t>
      </w:r>
      <w:r>
        <w:rPr>
          <w:color w:val="auto"/>
          <w:sz w:val="24"/>
          <w:szCs w:val="22"/>
          <w:lang w:val="ru-RU" w:eastAsia="fr-CH"/>
        </w:rPr>
        <w:t>Доступно</w:t>
      </w:r>
      <w:r w:rsidRPr="002A59AC">
        <w:rPr>
          <w:color w:val="auto"/>
          <w:sz w:val="24"/>
          <w:szCs w:val="22"/>
          <w:lang w:val="en-US" w:eastAsia="fr-CH"/>
        </w:rPr>
        <w:t xml:space="preserve"> </w:t>
      </w:r>
      <w:r>
        <w:rPr>
          <w:color w:val="auto"/>
          <w:sz w:val="24"/>
          <w:szCs w:val="22"/>
          <w:lang w:val="ru-RU" w:eastAsia="fr-CH"/>
        </w:rPr>
        <w:t>по</w:t>
      </w:r>
      <w:r w:rsidRPr="002A59AC">
        <w:rPr>
          <w:color w:val="auto"/>
          <w:sz w:val="24"/>
          <w:szCs w:val="22"/>
          <w:lang w:val="en-US" w:eastAsia="fr-CH"/>
        </w:rPr>
        <w:t xml:space="preserve"> </w:t>
      </w:r>
      <w:r>
        <w:rPr>
          <w:color w:val="auto"/>
          <w:sz w:val="24"/>
          <w:szCs w:val="22"/>
          <w:lang w:val="ru-RU" w:eastAsia="fr-CH"/>
        </w:rPr>
        <w:t>адресу</w:t>
      </w:r>
    </w:p>
    <w:p w:rsidR="00D31F63" w:rsidRPr="001B0C4A" w:rsidRDefault="002A59AC" w:rsidP="002A59AC">
      <w:pPr>
        <w:pStyle w:val="MText"/>
        <w:rPr>
          <w:color w:val="auto"/>
          <w:sz w:val="24"/>
          <w:szCs w:val="24"/>
          <w:lang w:val="ru-RU"/>
        </w:rPr>
      </w:pPr>
      <w:r w:rsidRPr="002A59AC">
        <w:rPr>
          <w:color w:val="auto"/>
          <w:sz w:val="24"/>
          <w:szCs w:val="22"/>
          <w:lang w:val="ru-RU" w:eastAsia="fr-CH"/>
        </w:rPr>
        <w:t>http://www.fao.org/docrep/018/i3327e/i3327e.pdf</w:t>
      </w:r>
    </w:p>
    <w:sectPr w:rsidR="00D31F63" w:rsidRPr="001B0C4A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FC" w:rsidRDefault="004E55FC" w:rsidP="00F73DBC">
      <w:pPr>
        <w:spacing w:after="0" w:line="240" w:lineRule="auto"/>
      </w:pPr>
      <w:r>
        <w:separator/>
      </w:r>
    </w:p>
  </w:endnote>
  <w:endnote w:type="continuationSeparator" w:id="0">
    <w:p w:rsidR="004E55FC" w:rsidRDefault="004E55FC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FC" w:rsidRDefault="004E55FC" w:rsidP="00F73DBC">
      <w:pPr>
        <w:spacing w:after="0" w:line="240" w:lineRule="auto"/>
      </w:pPr>
      <w:r>
        <w:separator/>
      </w:r>
    </w:p>
  </w:footnote>
  <w:footnote w:type="continuationSeparator" w:id="0">
    <w:p w:rsidR="004E55FC" w:rsidRDefault="004E55FC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FC" w:rsidRDefault="004E55FC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4E55FC" w:rsidRPr="009508D1" w:rsidRDefault="004E55FC" w:rsidP="009508D1">
    <w:pPr>
      <w:pStyle w:val="ae"/>
      <w:jc w:val="right"/>
    </w:pPr>
    <w:r>
      <w:t>Последнее обновление: январь 2022</w:t>
    </w:r>
  </w:p>
  <w:p w:rsidR="004E55FC" w:rsidRDefault="004E55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19F"/>
    <w:multiLevelType w:val="hybridMultilevel"/>
    <w:tmpl w:val="263AE4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DF5"/>
    <w:multiLevelType w:val="hybridMultilevel"/>
    <w:tmpl w:val="583085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B0C"/>
    <w:multiLevelType w:val="hybridMultilevel"/>
    <w:tmpl w:val="963E2F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1FC6"/>
    <w:multiLevelType w:val="hybridMultilevel"/>
    <w:tmpl w:val="3BCA43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60379"/>
    <w:multiLevelType w:val="hybridMultilevel"/>
    <w:tmpl w:val="12AE00E4"/>
    <w:lvl w:ilvl="0" w:tplc="4C7208D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1F2"/>
    <w:multiLevelType w:val="hybridMultilevel"/>
    <w:tmpl w:val="C08C3F42"/>
    <w:lvl w:ilvl="0" w:tplc="28269C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B25C7"/>
    <w:multiLevelType w:val="hybridMultilevel"/>
    <w:tmpl w:val="6F9E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EBA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53845"/>
    <w:multiLevelType w:val="hybridMultilevel"/>
    <w:tmpl w:val="D06A144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67AA"/>
    <w:multiLevelType w:val="hybridMultilevel"/>
    <w:tmpl w:val="6F30E0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D6AAA"/>
    <w:multiLevelType w:val="hybridMultilevel"/>
    <w:tmpl w:val="E912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677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D3BA1"/>
    <w:multiLevelType w:val="hybridMultilevel"/>
    <w:tmpl w:val="8870B1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1B24"/>
    <w:multiLevelType w:val="hybridMultilevel"/>
    <w:tmpl w:val="65DAC060"/>
    <w:lvl w:ilvl="0" w:tplc="28269C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D63B6"/>
    <w:multiLevelType w:val="hybridMultilevel"/>
    <w:tmpl w:val="03E4A948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F32D0"/>
    <w:multiLevelType w:val="hybridMultilevel"/>
    <w:tmpl w:val="2BD85E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201E0"/>
    <w:multiLevelType w:val="hybridMultilevel"/>
    <w:tmpl w:val="3D7E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2403"/>
    <w:multiLevelType w:val="hybridMultilevel"/>
    <w:tmpl w:val="8840A6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A52F5"/>
    <w:multiLevelType w:val="hybridMultilevel"/>
    <w:tmpl w:val="5DF0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40CDF"/>
    <w:multiLevelType w:val="hybridMultilevel"/>
    <w:tmpl w:val="E21CF0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11EBE"/>
    <w:multiLevelType w:val="hybridMultilevel"/>
    <w:tmpl w:val="0BDC344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E44B1"/>
    <w:multiLevelType w:val="hybridMultilevel"/>
    <w:tmpl w:val="EEF81F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E48DD"/>
    <w:multiLevelType w:val="hybridMultilevel"/>
    <w:tmpl w:val="01DEEE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437F"/>
    <w:multiLevelType w:val="hybridMultilevel"/>
    <w:tmpl w:val="47D4F1F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61375"/>
    <w:multiLevelType w:val="hybridMultilevel"/>
    <w:tmpl w:val="58866DC4"/>
    <w:lvl w:ilvl="0" w:tplc="28269C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94B1B"/>
    <w:multiLevelType w:val="hybridMultilevel"/>
    <w:tmpl w:val="2B6C23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4242B"/>
    <w:multiLevelType w:val="hybridMultilevel"/>
    <w:tmpl w:val="2E1691CA"/>
    <w:lvl w:ilvl="0" w:tplc="C9B24C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03307"/>
    <w:multiLevelType w:val="multilevel"/>
    <w:tmpl w:val="EC8C5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DD508BB"/>
    <w:multiLevelType w:val="multilevel"/>
    <w:tmpl w:val="6A0CA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7029C3"/>
    <w:multiLevelType w:val="hybridMultilevel"/>
    <w:tmpl w:val="AD9240B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63A9A"/>
    <w:multiLevelType w:val="hybridMultilevel"/>
    <w:tmpl w:val="39FE4122"/>
    <w:lvl w:ilvl="0" w:tplc="10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41077E0"/>
    <w:multiLevelType w:val="hybridMultilevel"/>
    <w:tmpl w:val="372C22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E2EC0"/>
    <w:multiLevelType w:val="hybridMultilevel"/>
    <w:tmpl w:val="7E447D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15DF2"/>
    <w:multiLevelType w:val="multilevel"/>
    <w:tmpl w:val="BC6AE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6B316B"/>
    <w:multiLevelType w:val="hybridMultilevel"/>
    <w:tmpl w:val="17EE7E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32812"/>
    <w:multiLevelType w:val="hybridMultilevel"/>
    <w:tmpl w:val="F3129A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374BE"/>
    <w:multiLevelType w:val="hybridMultilevel"/>
    <w:tmpl w:val="BA4EB6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F50DE"/>
    <w:multiLevelType w:val="hybridMultilevel"/>
    <w:tmpl w:val="10AE637E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61BE6"/>
    <w:multiLevelType w:val="hybridMultilevel"/>
    <w:tmpl w:val="EED400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00FA7"/>
    <w:multiLevelType w:val="multilevel"/>
    <w:tmpl w:val="06044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3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26"/>
  </w:num>
  <w:num w:numId="5">
    <w:abstractNumId w:val="7"/>
  </w:num>
  <w:num w:numId="6">
    <w:abstractNumId w:val="10"/>
  </w:num>
  <w:num w:numId="7">
    <w:abstractNumId w:val="20"/>
  </w:num>
  <w:num w:numId="8">
    <w:abstractNumId w:val="18"/>
  </w:num>
  <w:num w:numId="9">
    <w:abstractNumId w:val="25"/>
  </w:num>
  <w:num w:numId="10">
    <w:abstractNumId w:val="5"/>
  </w:num>
  <w:num w:numId="11">
    <w:abstractNumId w:val="8"/>
  </w:num>
  <w:num w:numId="12">
    <w:abstractNumId w:val="17"/>
  </w:num>
  <w:num w:numId="13">
    <w:abstractNumId w:val="34"/>
  </w:num>
  <w:num w:numId="14">
    <w:abstractNumId w:val="36"/>
  </w:num>
  <w:num w:numId="15">
    <w:abstractNumId w:val="38"/>
  </w:num>
  <w:num w:numId="16">
    <w:abstractNumId w:val="35"/>
  </w:num>
  <w:num w:numId="17">
    <w:abstractNumId w:val="15"/>
  </w:num>
  <w:num w:numId="18">
    <w:abstractNumId w:val="9"/>
  </w:num>
  <w:num w:numId="19">
    <w:abstractNumId w:val="0"/>
  </w:num>
  <w:num w:numId="20">
    <w:abstractNumId w:val="37"/>
  </w:num>
  <w:num w:numId="21">
    <w:abstractNumId w:val="16"/>
  </w:num>
  <w:num w:numId="22">
    <w:abstractNumId w:val="41"/>
  </w:num>
  <w:num w:numId="23">
    <w:abstractNumId w:val="21"/>
  </w:num>
  <w:num w:numId="24">
    <w:abstractNumId w:val="32"/>
  </w:num>
  <w:num w:numId="25">
    <w:abstractNumId w:val="4"/>
  </w:num>
  <w:num w:numId="26">
    <w:abstractNumId w:val="29"/>
  </w:num>
  <w:num w:numId="27">
    <w:abstractNumId w:val="11"/>
  </w:num>
  <w:num w:numId="28">
    <w:abstractNumId w:val="23"/>
  </w:num>
  <w:num w:numId="29">
    <w:abstractNumId w:val="19"/>
  </w:num>
  <w:num w:numId="30">
    <w:abstractNumId w:val="30"/>
  </w:num>
  <w:num w:numId="31">
    <w:abstractNumId w:val="40"/>
  </w:num>
  <w:num w:numId="32">
    <w:abstractNumId w:val="13"/>
  </w:num>
  <w:num w:numId="33">
    <w:abstractNumId w:val="39"/>
  </w:num>
  <w:num w:numId="34">
    <w:abstractNumId w:val="1"/>
  </w:num>
  <w:num w:numId="35">
    <w:abstractNumId w:val="33"/>
  </w:num>
  <w:num w:numId="36">
    <w:abstractNumId w:val="14"/>
  </w:num>
  <w:num w:numId="37">
    <w:abstractNumId w:val="31"/>
  </w:num>
  <w:num w:numId="38">
    <w:abstractNumId w:val="2"/>
  </w:num>
  <w:num w:numId="39">
    <w:abstractNumId w:val="27"/>
  </w:num>
  <w:num w:numId="40">
    <w:abstractNumId w:val="6"/>
  </w:num>
  <w:num w:numId="41">
    <w:abstractNumId w:val="2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17B67"/>
    <w:rsid w:val="00040034"/>
    <w:rsid w:val="00053D20"/>
    <w:rsid w:val="000A210D"/>
    <w:rsid w:val="000A229E"/>
    <w:rsid w:val="000A47E6"/>
    <w:rsid w:val="000C1256"/>
    <w:rsid w:val="0011581A"/>
    <w:rsid w:val="00116248"/>
    <w:rsid w:val="00133E22"/>
    <w:rsid w:val="00146FDC"/>
    <w:rsid w:val="001470A2"/>
    <w:rsid w:val="00165896"/>
    <w:rsid w:val="001A163A"/>
    <w:rsid w:val="001B0C4A"/>
    <w:rsid w:val="001D786D"/>
    <w:rsid w:val="001E2FC9"/>
    <w:rsid w:val="001F3BB3"/>
    <w:rsid w:val="002A59AC"/>
    <w:rsid w:val="002B2508"/>
    <w:rsid w:val="002E122C"/>
    <w:rsid w:val="002E15F9"/>
    <w:rsid w:val="002F63E5"/>
    <w:rsid w:val="00303D71"/>
    <w:rsid w:val="00306C14"/>
    <w:rsid w:val="003143BC"/>
    <w:rsid w:val="00333CA4"/>
    <w:rsid w:val="003746BC"/>
    <w:rsid w:val="00390809"/>
    <w:rsid w:val="00397764"/>
    <w:rsid w:val="003B2CF2"/>
    <w:rsid w:val="003B340F"/>
    <w:rsid w:val="003E03CC"/>
    <w:rsid w:val="004066A3"/>
    <w:rsid w:val="00407E4E"/>
    <w:rsid w:val="004143B4"/>
    <w:rsid w:val="00422DE3"/>
    <w:rsid w:val="004277C6"/>
    <w:rsid w:val="00434804"/>
    <w:rsid w:val="00495D65"/>
    <w:rsid w:val="004A3377"/>
    <w:rsid w:val="004B6FA0"/>
    <w:rsid w:val="004E087E"/>
    <w:rsid w:val="004E55FC"/>
    <w:rsid w:val="00504CD2"/>
    <w:rsid w:val="00543050"/>
    <w:rsid w:val="00577C9B"/>
    <w:rsid w:val="005E47BD"/>
    <w:rsid w:val="00623607"/>
    <w:rsid w:val="006308D5"/>
    <w:rsid w:val="00647C5F"/>
    <w:rsid w:val="00654380"/>
    <w:rsid w:val="00694160"/>
    <w:rsid w:val="006B260E"/>
    <w:rsid w:val="006B3939"/>
    <w:rsid w:val="006D0CA1"/>
    <w:rsid w:val="006D7049"/>
    <w:rsid w:val="006E66FC"/>
    <w:rsid w:val="006F1198"/>
    <w:rsid w:val="00702333"/>
    <w:rsid w:val="00704A8D"/>
    <w:rsid w:val="00705161"/>
    <w:rsid w:val="00727DFA"/>
    <w:rsid w:val="0075371E"/>
    <w:rsid w:val="00780F08"/>
    <w:rsid w:val="007B0CFD"/>
    <w:rsid w:val="007C27E0"/>
    <w:rsid w:val="007D1185"/>
    <w:rsid w:val="0082082A"/>
    <w:rsid w:val="00853C09"/>
    <w:rsid w:val="008616D9"/>
    <w:rsid w:val="008830C4"/>
    <w:rsid w:val="009508D1"/>
    <w:rsid w:val="00957A62"/>
    <w:rsid w:val="00964BE9"/>
    <w:rsid w:val="00980F79"/>
    <w:rsid w:val="009843DD"/>
    <w:rsid w:val="009917DD"/>
    <w:rsid w:val="00995788"/>
    <w:rsid w:val="009B6CB3"/>
    <w:rsid w:val="009D078D"/>
    <w:rsid w:val="009F0769"/>
    <w:rsid w:val="00A41B68"/>
    <w:rsid w:val="00A44394"/>
    <w:rsid w:val="00A508C5"/>
    <w:rsid w:val="00A618FC"/>
    <w:rsid w:val="00A71EC6"/>
    <w:rsid w:val="00A91FDE"/>
    <w:rsid w:val="00AC1566"/>
    <w:rsid w:val="00B0378B"/>
    <w:rsid w:val="00B17F13"/>
    <w:rsid w:val="00B51BC3"/>
    <w:rsid w:val="00B667DF"/>
    <w:rsid w:val="00B72F77"/>
    <w:rsid w:val="00B86391"/>
    <w:rsid w:val="00BD29EC"/>
    <w:rsid w:val="00BE70C8"/>
    <w:rsid w:val="00C160B0"/>
    <w:rsid w:val="00C25229"/>
    <w:rsid w:val="00C34D1D"/>
    <w:rsid w:val="00C74767"/>
    <w:rsid w:val="00C83435"/>
    <w:rsid w:val="00C8596F"/>
    <w:rsid w:val="00CA1CB1"/>
    <w:rsid w:val="00CF7625"/>
    <w:rsid w:val="00D006C1"/>
    <w:rsid w:val="00D05466"/>
    <w:rsid w:val="00D1082C"/>
    <w:rsid w:val="00D27046"/>
    <w:rsid w:val="00D31F63"/>
    <w:rsid w:val="00D54600"/>
    <w:rsid w:val="00D636C1"/>
    <w:rsid w:val="00D65EF2"/>
    <w:rsid w:val="00D71A86"/>
    <w:rsid w:val="00E134FB"/>
    <w:rsid w:val="00E206E6"/>
    <w:rsid w:val="00E21B43"/>
    <w:rsid w:val="00E27922"/>
    <w:rsid w:val="00E33CA8"/>
    <w:rsid w:val="00E55C4C"/>
    <w:rsid w:val="00E90BD4"/>
    <w:rsid w:val="00EB1910"/>
    <w:rsid w:val="00EB389E"/>
    <w:rsid w:val="00EB4CBB"/>
    <w:rsid w:val="00EE49B3"/>
    <w:rsid w:val="00F35D05"/>
    <w:rsid w:val="00F6371F"/>
    <w:rsid w:val="00F73DBC"/>
    <w:rsid w:val="00F84FF1"/>
    <w:rsid w:val="00FA004A"/>
    <w:rsid w:val="00FE35CF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C1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73DBC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5">
    <w:name w:val="annotation reference"/>
    <w:basedOn w:val="a0"/>
    <w:uiPriority w:val="99"/>
    <w:semiHidden/>
    <w:unhideWhenUsed/>
    <w:rsid w:val="00D31F63"/>
    <w:rPr>
      <w:sz w:val="16"/>
      <w:szCs w:val="16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0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0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0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8">
    <w:name w:val="Body Text"/>
    <w:basedOn w:val="a"/>
    <w:link w:val="af9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9">
    <w:name w:val="Основной текст Знак"/>
    <w:basedOn w:val="a0"/>
    <w:link w:val="af8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a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C1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73DBC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5">
    <w:name w:val="annotation reference"/>
    <w:basedOn w:val="a0"/>
    <w:uiPriority w:val="99"/>
    <w:semiHidden/>
    <w:unhideWhenUsed/>
    <w:rsid w:val="00D31F63"/>
    <w:rPr>
      <w:sz w:val="16"/>
      <w:szCs w:val="16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0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0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0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8">
    <w:name w:val="Body Text"/>
    <w:basedOn w:val="a"/>
    <w:link w:val="af9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9">
    <w:name w:val="Основной текст Знак"/>
    <w:basedOn w:val="a0"/>
    <w:link w:val="af8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a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o.org/3/ba0054e/ba0054e00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o.org/dad-is/en/" TargetMode="External"/><Relationship Id="rId17" Type="http://schemas.openxmlformats.org/officeDocument/2006/relationships/hyperlink" Target="http://dad.fa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o.org/docrep/014/ba0055e/ba0055e00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3/a-i3327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o.org/docrep/018/i3327e/i3327e.pdf" TargetMode="External"/><Relationship Id="rId10" Type="http://schemas.openxmlformats.org/officeDocument/2006/relationships/hyperlink" Target="http://www.cbd.int/gbo/gbo4/publication/gbo4-en-lr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pindicators.net/domesticatedanimals" TargetMode="External"/><Relationship Id="rId14" Type="http://schemas.openxmlformats.org/officeDocument/2006/relationships/hyperlink" Target="http://dad.fa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672A-50C9-4453-A20B-930BB784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8</cp:revision>
  <dcterms:created xsi:type="dcterms:W3CDTF">2022-01-31T13:01:00Z</dcterms:created>
  <dcterms:modified xsi:type="dcterms:W3CDTF">2022-01-31T13:26:00Z</dcterms:modified>
</cp:coreProperties>
</file>