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Цель 1: Повсеместная ликвидация нищеты во всех ее формах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Pr="00BD29E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A19D7" w:rsidRPr="00DA19D7">
        <w:rPr>
          <w:rFonts w:ascii="Times New Roman" w:hAnsi="Times New Roman" w:cs="Times New Roman"/>
          <w:sz w:val="24"/>
          <w:szCs w:val="24"/>
        </w:rPr>
        <w:t>К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80F08" w:rsidRPr="00BD29EC">
        <w:rPr>
          <w:rFonts w:ascii="Times New Roman" w:hAnsi="Times New Roman" w:cs="Times New Roman"/>
          <w:sz w:val="24"/>
          <w:szCs w:val="24"/>
        </w:rPr>
        <w:t>1.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2F481B">
        <w:rPr>
          <w:rFonts w:ascii="Times New Roman" w:hAnsi="Times New Roman" w:cs="Times New Roman"/>
          <w:sz w:val="24"/>
          <w:szCs w:val="24"/>
        </w:rPr>
        <w:t>3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 </w:t>
      </w:r>
      <w:r w:rsidR="002F481B" w:rsidRPr="002F481B">
        <w:rPr>
          <w:rFonts w:ascii="Times New Roman" w:hAnsi="Times New Roman" w:cs="Times New Roman"/>
          <w:sz w:val="24"/>
          <w:szCs w:val="24"/>
        </w:rPr>
        <w:t xml:space="preserve">Число стран, принявших и осуществляющих национальные стратегии снижения риска бедствий в соответствии с </w:t>
      </w:r>
      <w:proofErr w:type="spellStart"/>
      <w:r w:rsidR="002F481B" w:rsidRPr="002F481B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2F481B" w:rsidRPr="002F481B">
        <w:rPr>
          <w:rFonts w:ascii="Times New Roman" w:hAnsi="Times New Roman" w:cs="Times New Roman"/>
          <w:sz w:val="24"/>
          <w:szCs w:val="24"/>
        </w:rPr>
        <w:t xml:space="preserve"> рамочной программой по снижению риска бедствий на 2015-2030 годы</w:t>
      </w:r>
      <w:r w:rsidR="002F481B">
        <w:rPr>
          <w:rFonts w:ascii="Times New Roman" w:hAnsi="Times New Roman" w:cs="Times New Roman"/>
          <w:sz w:val="24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DA19D7" w:rsidRDefault="00DA19D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2018-03-01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2748C1" w:rsidRPr="002748C1" w:rsidRDefault="002748C1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2748C1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1.5; 11.5; 11.b; 13.1; 2.4; 3.6; 3.9; 3.d; 4.a; 6.6; 9.1; 9.a; 11.1; 11.3; 11.c; 13.2; 13.3; 13.a; 13.b; 14.2; 15.1; 15.2; 15.3; 15.9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748C1" w:rsidRDefault="00DA19D7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748C1" w:rsidRPr="002748C1" w:rsidRDefault="002748C1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 xml:space="preserve">[A] Межправительственная рабочая группа экспертов открытого состава по показателям и терминологии, касающимся уменьшения опасностей бедствий (УОБ), установленных Генеральной Ассамблеей (резолюция 69/284), разрабатывает ряд показателей для оценки глобального прогресса в осуществлении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рамочной программе. Эти показатели будут в конечном итоге отражать показатели по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рамочной программе.</w:t>
      </w: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2748C1" w:rsidRPr="002748C1" w:rsidRDefault="002748C1" w:rsidP="002748C1">
      <w:pPr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 xml:space="preserve">Национальный отчет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Сендайского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монитора о хо</w:t>
      </w:r>
      <w:r>
        <w:rPr>
          <w:rFonts w:ascii="Times New Roman" w:hAnsi="Times New Roman" w:cs="Times New Roman"/>
          <w:sz w:val="24"/>
          <w:szCs w:val="24"/>
        </w:rPr>
        <w:t xml:space="preserve">де работы, представленный МСУОБ </w:t>
      </w:r>
      <w:r w:rsidRPr="002748C1">
        <w:rPr>
          <w:rFonts w:ascii="Times New Roman" w:hAnsi="Times New Roman" w:cs="Times New Roman"/>
          <w:sz w:val="24"/>
          <w:szCs w:val="24"/>
        </w:rPr>
        <w:t>ООН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6C2488" w:rsidRPr="006C2488" w:rsidRDefault="006C2488" w:rsidP="006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sz w:val="24"/>
          <w:szCs w:val="24"/>
        </w:rPr>
        <w:t>Официальный партне</w:t>
      </w:r>
      <w:proofErr w:type="gramStart"/>
      <w:r w:rsidRPr="006C248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C2488">
        <w:rPr>
          <w:rFonts w:ascii="Times New Roman" w:hAnsi="Times New Roman" w:cs="Times New Roman"/>
          <w:sz w:val="24"/>
          <w:szCs w:val="24"/>
        </w:rPr>
        <w:t xml:space="preserve">ы) на уровне страны предоставляют национальный отчет о прогрессе в Мониторинге </w:t>
      </w:r>
      <w:proofErr w:type="spellStart"/>
      <w:r w:rsidRPr="006C248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6C2488">
        <w:rPr>
          <w:rFonts w:ascii="Times New Roman" w:hAnsi="Times New Roman" w:cs="Times New Roman"/>
          <w:sz w:val="24"/>
          <w:szCs w:val="24"/>
        </w:rPr>
        <w:t xml:space="preserve"> рамочной программы.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904CDA" w:rsidRPr="00904CDA" w:rsidRDefault="00904CDA" w:rsidP="00904CDA">
      <w:pPr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>2017-2018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6F5C07" w:rsidRPr="006F5C07" w:rsidRDefault="006F5C07" w:rsidP="006F5C07">
      <w:pPr>
        <w:rPr>
          <w:rFonts w:ascii="Times New Roman" w:hAnsi="Times New Roman" w:cs="Times New Roman"/>
          <w:sz w:val="24"/>
          <w:szCs w:val="24"/>
        </w:rPr>
      </w:pPr>
      <w:r w:rsidRPr="006F5C07">
        <w:rPr>
          <w:rFonts w:ascii="Times New Roman" w:hAnsi="Times New Roman" w:cs="Times New Roman"/>
          <w:sz w:val="24"/>
          <w:szCs w:val="24"/>
        </w:rPr>
        <w:t>Первоначальные наборы данных в 2017 г., первый д</w:t>
      </w:r>
      <w:r>
        <w:rPr>
          <w:rFonts w:ascii="Times New Roman" w:hAnsi="Times New Roman" w:cs="Times New Roman"/>
          <w:sz w:val="24"/>
          <w:szCs w:val="24"/>
        </w:rPr>
        <w:t xml:space="preserve">остаточно полный набор данных к </w:t>
      </w:r>
      <w:r w:rsidRPr="006F5C07">
        <w:rPr>
          <w:rFonts w:ascii="Times New Roman" w:hAnsi="Times New Roman" w:cs="Times New Roman"/>
          <w:sz w:val="24"/>
          <w:szCs w:val="24"/>
        </w:rPr>
        <w:t>2019 г.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D2044C" w:rsidRPr="00D2044C" w:rsidRDefault="00D2044C" w:rsidP="00D20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044C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СРБ, в состав которой входят агентства специального назначения, в том числе национальные агентства по борьбе со стихийными бедствиями, агентства по гражданской защите и метеорологические агентства.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7F61C3" w:rsidRPr="007F61C3" w:rsidRDefault="007F61C3" w:rsidP="007F61C3">
      <w:pPr>
        <w:rPr>
          <w:rFonts w:ascii="Times New Roman" w:hAnsi="Times New Roman" w:cs="Times New Roman"/>
          <w:sz w:val="24"/>
          <w:szCs w:val="24"/>
        </w:rPr>
      </w:pPr>
      <w:r w:rsidRPr="007F61C3">
        <w:rPr>
          <w:rFonts w:ascii="Times New Roman" w:hAnsi="Times New Roman" w:cs="Times New Roman"/>
          <w:sz w:val="24"/>
          <w:szCs w:val="24"/>
        </w:rPr>
        <w:t>МСУОБ ООН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8A70E3" w:rsidRPr="008A70E3" w:rsidRDefault="008A70E3" w:rsidP="008A70E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Показатель построит мост между ЦУР (SDG) и </w:t>
      </w:r>
      <w:proofErr w:type="spellStart"/>
      <w:r w:rsidRPr="008A70E3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8A70E3">
        <w:rPr>
          <w:rFonts w:ascii="Times New Roman" w:hAnsi="Times New Roman" w:cs="Times New Roman"/>
          <w:sz w:val="24"/>
          <w:szCs w:val="24"/>
        </w:rPr>
        <w:t xml:space="preserve"> рамочной программой для УОБ (DRR). </w:t>
      </w:r>
      <w:proofErr w:type="gramStart"/>
      <w:r w:rsidRPr="008A70E3">
        <w:rPr>
          <w:rFonts w:ascii="Times New Roman" w:hAnsi="Times New Roman" w:cs="Times New Roman"/>
          <w:sz w:val="24"/>
          <w:szCs w:val="24"/>
        </w:rPr>
        <w:t xml:space="preserve">Увеличение числа национальных правительств, которые принимают и реализуют национальные и местные стратегии УОБ, которые, согласно </w:t>
      </w:r>
      <w:proofErr w:type="spellStart"/>
      <w:r w:rsidRPr="008A70E3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8A70E3">
        <w:rPr>
          <w:rFonts w:ascii="Times New Roman" w:hAnsi="Times New Roman" w:cs="Times New Roman"/>
          <w:sz w:val="24"/>
          <w:szCs w:val="24"/>
        </w:rPr>
        <w:t xml:space="preserve"> рамочной программе, будут способствовать устойчивому развитию с экономической, экологической и социальной точек зрения.</w:t>
      </w:r>
      <w:proofErr w:type="gramEnd"/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622425" w:rsidRPr="00B71BA1" w:rsidRDefault="00622425" w:rsidP="00622425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Инструмент мониторинга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 (HFA) начал действие в 2007 году и с течением времени увеличилось число стран, подотчетных МСУОБ ООН, от 60 в 2007 году до 140 стран, которые в настоящее время проводят добровольную самооценку прогресса внедрения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действий. В течение четырех циклов отчетности до 2015 года инструмент мониторинга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 создал крупнейший в мире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информации о </w:t>
      </w:r>
      <w:r w:rsidRPr="00B71BA1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политике в области УОБ, в частности. Преемственная программа, условно названная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Сендайским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инструментом мониторинга, находится в разработке и будет проинформирован</w:t>
      </w:r>
      <w:r w:rsidR="00A131F1" w:rsidRPr="00B71BA1">
        <w:rPr>
          <w:rFonts w:ascii="Times New Roman" w:hAnsi="Times New Roman" w:cs="Times New Roman"/>
          <w:sz w:val="24"/>
          <w:szCs w:val="24"/>
        </w:rPr>
        <w:t>а</w:t>
      </w:r>
      <w:r w:rsidRPr="00B71BA1">
        <w:rPr>
          <w:rFonts w:ascii="Times New Roman" w:hAnsi="Times New Roman" w:cs="Times New Roman"/>
          <w:sz w:val="24"/>
          <w:szCs w:val="24"/>
        </w:rPr>
        <w:t xml:space="preserve"> рекомендациями МРГОС (OEIWG). Предполагается, что базовый уровень по состоянию на 2015 год будет создан в 2016-2017 годах, что соответствует прогрессу в достижении целей как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программы, так и ЦУР.</w:t>
      </w:r>
    </w:p>
    <w:p w:rsidR="00622425" w:rsidRPr="00622425" w:rsidRDefault="00622425" w:rsidP="00622425">
      <w:pPr>
        <w:jc w:val="both"/>
      </w:pPr>
      <w:r w:rsidRPr="00B71BA1">
        <w:rPr>
          <w:rFonts w:ascii="Times New Roman" w:hAnsi="Times New Roman" w:cs="Times New Roman"/>
          <w:sz w:val="24"/>
          <w:szCs w:val="24"/>
        </w:rPr>
        <w:t xml:space="preserve">Члены как МРГОС и </w:t>
      </w:r>
      <w:r w:rsidR="00A131F1" w:rsidRPr="00B71BA1">
        <w:rPr>
          <w:rFonts w:ascii="Times New Roman" w:hAnsi="Times New Roman" w:cs="Times New Roman"/>
          <w:sz w:val="24"/>
          <w:szCs w:val="24"/>
        </w:rPr>
        <w:t>Межправительственной</w:t>
      </w:r>
      <w:r w:rsidRPr="00B71BA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131F1" w:rsidRPr="00B71BA1">
        <w:rPr>
          <w:rFonts w:ascii="Times New Roman" w:hAnsi="Times New Roman" w:cs="Times New Roman"/>
          <w:sz w:val="24"/>
          <w:szCs w:val="24"/>
        </w:rPr>
        <w:t>ей</w:t>
      </w:r>
      <w:r w:rsidRPr="00B71BA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31F1" w:rsidRPr="00B71BA1">
        <w:rPr>
          <w:rFonts w:ascii="Times New Roman" w:hAnsi="Times New Roman" w:cs="Times New Roman"/>
          <w:sz w:val="24"/>
          <w:szCs w:val="24"/>
        </w:rPr>
        <w:t>ы</w:t>
      </w:r>
      <w:r w:rsidRPr="00B71BA1">
        <w:rPr>
          <w:rFonts w:ascii="Times New Roman" w:hAnsi="Times New Roman" w:cs="Times New Roman"/>
          <w:sz w:val="24"/>
          <w:szCs w:val="24"/>
        </w:rPr>
        <w:t xml:space="preserve"> по Целям устойчивого развития (IAEG-SDG)</w:t>
      </w:r>
      <w:r w:rsidR="00A131F1" w:rsidRPr="00B71BA1"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показатели</w:t>
      </w:r>
      <w:r w:rsidRPr="00B71BA1">
        <w:rPr>
          <w:rFonts w:ascii="Times New Roman" w:hAnsi="Times New Roman" w:cs="Times New Roman"/>
          <w:sz w:val="24"/>
          <w:szCs w:val="24"/>
        </w:rPr>
        <w:t xml:space="preserve">, которые просто подсчитывают количество стран, не рекомендуются, вместо этого поощряются показатели для оценки прогресса с течением времени. В дополнение к обсуждениям МРГОС, а также Межведомственной экспертной группы, МСУОБ ООН предложила методологию расчета, которая позволит осуществлять мониторинг улучшения национальных и местных стратегий УОБ с течением времени. Эти методологии варьируются от простой количественной оценки этих стратегий до качественной меры согласования с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программой, а также охвата населения местными стратегиями.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B71BA1" w:rsidRDefault="00B71BA1" w:rsidP="00B71BA1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Методология расчета нескольких показателей </w:t>
      </w:r>
      <w:r>
        <w:rPr>
          <w:rFonts w:ascii="Times New Roman" w:hAnsi="Times New Roman" w:cs="Times New Roman"/>
          <w:sz w:val="24"/>
          <w:szCs w:val="24"/>
        </w:rPr>
        <w:t>всеобъемлющая и</w:t>
      </w:r>
      <w:r w:rsidRPr="00B71BA1">
        <w:rPr>
          <w:rFonts w:ascii="Times New Roman" w:hAnsi="Times New Roman" w:cs="Times New Roman"/>
          <w:sz w:val="24"/>
          <w:szCs w:val="24"/>
        </w:rPr>
        <w:t xml:space="preserve"> длинная (около 180 страниц) и, вероятно, выходит за рамки этих метаданных. </w:t>
      </w:r>
      <w:r w:rsidR="00111318" w:rsidRPr="00111318">
        <w:rPr>
          <w:rFonts w:ascii="Times New Roman" w:hAnsi="Times New Roman" w:cs="Times New Roman"/>
          <w:sz w:val="24"/>
          <w:szCs w:val="24"/>
        </w:rPr>
        <w:t xml:space="preserve">МСУОБ ООН </w:t>
      </w:r>
      <w:r w:rsidRPr="00B71BA1">
        <w:rPr>
          <w:rFonts w:ascii="Times New Roman" w:hAnsi="Times New Roman" w:cs="Times New Roman"/>
          <w:sz w:val="24"/>
          <w:szCs w:val="24"/>
        </w:rPr>
        <w:t xml:space="preserve">предпочитает ссылаться на результаты работы Межправительственной рабочей группы открытого состава, которая предоставляет полную подробную методологию для каждого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B71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>.</w:t>
      </w:r>
    </w:p>
    <w:p w:rsidR="00B71BA1" w:rsidRPr="00B71BA1" w:rsidRDefault="00B71BA1" w:rsidP="00B71BA1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Последняя версия методологии </w:t>
      </w:r>
      <w:r>
        <w:rPr>
          <w:rFonts w:ascii="Times New Roman" w:hAnsi="Times New Roman" w:cs="Times New Roman"/>
          <w:sz w:val="24"/>
          <w:szCs w:val="24"/>
        </w:rPr>
        <w:t>доступна</w:t>
      </w:r>
      <w:r w:rsidRPr="00B71B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26752" w:rsidRPr="00A26752" w:rsidRDefault="00E03D08" w:rsidP="00A26752">
      <w:pPr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A26752" w:rsidRPr="00A26752">
          <w:rPr>
            <w:rStyle w:val="ac"/>
            <w:rFonts w:ascii="Times New Roman" w:hAnsi="Times New Roman" w:cs="Times New Roman"/>
            <w:lang w:val="en-US"/>
          </w:rPr>
          <w:t>http://www.preventionweb.net/documents/oiewg/Technical%20Collection%20of%20Concept%20Notes %20on%20Indicators.pdf</w:t>
        </w:r>
      </w:hyperlink>
    </w:p>
    <w:p w:rsidR="00A26752" w:rsidRPr="00111318" w:rsidRDefault="00A26752" w:rsidP="00A2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Краткое</w:t>
      </w:r>
      <w:r w:rsidRPr="00111318">
        <w:rPr>
          <w:rFonts w:ascii="Times New Roman" w:hAnsi="Times New Roman" w:cs="Times New Roman"/>
          <w:sz w:val="24"/>
          <w:szCs w:val="24"/>
        </w:rPr>
        <w:t xml:space="preserve"> </w:t>
      </w:r>
      <w:r w:rsidRPr="00A26752">
        <w:rPr>
          <w:rFonts w:ascii="Times New Roman" w:hAnsi="Times New Roman" w:cs="Times New Roman"/>
          <w:sz w:val="24"/>
          <w:szCs w:val="24"/>
        </w:rPr>
        <w:t>резюме</w:t>
      </w:r>
      <w:r w:rsidRPr="00111318">
        <w:rPr>
          <w:rFonts w:ascii="Times New Roman" w:hAnsi="Times New Roman" w:cs="Times New Roman"/>
          <w:sz w:val="24"/>
          <w:szCs w:val="24"/>
        </w:rPr>
        <w:t>:</w:t>
      </w:r>
    </w:p>
    <w:p w:rsidR="00A26752" w:rsidRPr="00A26752" w:rsidRDefault="00A26752" w:rsidP="00A2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 xml:space="preserve">Обобщение данных из Национальных отчетов о ходе работы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Сендайского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2E15F9" w:rsidRPr="00BD29EC" w:rsidRDefault="002E15F9" w:rsidP="00B71BA1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A26752" w:rsidRPr="00A26752" w:rsidRDefault="00A26752" w:rsidP="00A2675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A26752" w:rsidRDefault="00A26752" w:rsidP="00E03D08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программы, который будет проводиться в качестве добровольной самооценки как мониторинг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рамочной программы (HFA), отсутствующие значения и 0 или нуль будут считаться эквивалентными.</w:t>
      </w:r>
    </w:p>
    <w:p w:rsidR="00A26752" w:rsidRDefault="00A26752" w:rsidP="00A2675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26752" w:rsidRP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недоступна</w:t>
      </w:r>
    </w:p>
    <w:p w:rsidR="00A26752" w:rsidRP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AE7C0D" w:rsidRPr="00AE7C0D" w:rsidRDefault="00AE7C0D" w:rsidP="00AE7C0D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7C0D">
        <w:rPr>
          <w:rFonts w:ascii="Times New Roman" w:hAnsi="Times New Roman"/>
          <w:color w:val="000000" w:themeColor="text1"/>
          <w:sz w:val="24"/>
          <w:szCs w:val="24"/>
          <w:lang w:val="ru-RU"/>
        </w:rPr>
        <w:t>См. Раздел «Методология расчета».</w:t>
      </w:r>
    </w:p>
    <w:p w:rsidR="00AE7C0D" w:rsidRPr="00AE7C0D" w:rsidRDefault="00AE7C0D" w:rsidP="00AE7C0D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7C0D">
        <w:rPr>
          <w:rFonts w:ascii="Times New Roman" w:hAnsi="Times New Roman"/>
          <w:color w:val="000000" w:themeColor="text1"/>
          <w:sz w:val="24"/>
          <w:szCs w:val="24"/>
          <w:lang w:val="ru-RU"/>
        </w:rPr>
        <w:t>Он будет рассчитываться, по усмотрению МРГОС, либо как линейное среднее индекса, описанного в 3.3, либо как средневзвешенное значение индекса, умноженное на население страны, разделенное на население мира.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Мониторинг HFA начался в 2007 г., и со временем число стран, отчитывающихся перед МСУОБ ООН, увеличилось с 60 в 2007 г. до 140+ стран, которые в настоящее время проводят добровольную самооценку прогресса в реализации</w:t>
      </w:r>
      <w:r w:rsidRPr="003C2C65">
        <w:t xml:space="preserve"> </w:t>
      </w:r>
      <w:r w:rsidRPr="003C2C65">
        <w:rPr>
          <w:rFonts w:ascii="Times New Roman" w:hAnsi="Times New Roman" w:cs="Times New Roman"/>
          <w:sz w:val="24"/>
          <w:szCs w:val="24"/>
        </w:rPr>
        <w:t xml:space="preserve">HFA. Учитывая требования к стратегиям снижения риска бедствий, закрепленные в отчетности по ЦУР и задачам </w:t>
      </w:r>
      <w:proofErr w:type="spellStart"/>
      <w:r w:rsidRPr="003C2C6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3C2C65">
        <w:rPr>
          <w:rFonts w:ascii="Times New Roman" w:hAnsi="Times New Roman" w:cs="Times New Roman"/>
          <w:sz w:val="24"/>
          <w:szCs w:val="24"/>
        </w:rPr>
        <w:t xml:space="preserve"> рамочной программы, ожидается, что к 2020 году все государства-члены будут сообщать о своих стратегиях СРБ в соответствии с рекомендациями и руководящими принципами OEIWG.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2013 и 2015: монитор HFA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Разбивка: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По стране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По городам (применительно к субнациональным административным единицам)</w:t>
      </w:r>
    </w:p>
    <w:p w:rsidR="002E15F9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04F71" w:rsidRPr="00004F71" w:rsidRDefault="00004F71" w:rsidP="00004F7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4F71">
        <w:rPr>
          <w:rFonts w:ascii="Times New Roman" w:hAnsi="Times New Roman" w:cs="Times New Roman"/>
          <w:color w:val="000000" w:themeColor="text1"/>
          <w:sz w:val="24"/>
        </w:rPr>
        <w:t>Не существует глобальной базы данных, собирающей информацию о политике СРБ, кроме монитора HFA и последующего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Сендайского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мониторинга</w:t>
      </w:r>
      <w:r w:rsidRPr="00004F7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04F71" w:rsidRPr="00111318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113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1113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1113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802880" w:rsidRPr="00111318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802880" w:rsidRPr="00111318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GoBack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documents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oiewg</w:t>
      </w:r>
      <w:proofErr w:type="spellEnd"/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Technical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Collection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of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Concept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Notes</w:t>
      </w:r>
    </w:p>
    <w:p w:rsidR="00802880" w:rsidRPr="00111318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on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Indicators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802880" w:rsidRPr="00111318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Используемые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документы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bookmarkEnd w:id="5"/>
    <w:p w:rsidR="000F73AA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На Межправительственную рабочую группу экспертов открытого состава по показателям и терминологии, относящейся к снижению риска бедствий (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), ГА ООН возложила ответственность за разработку набора показателей для измерения глобального прогресса в реализации 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</w:t>
      </w:r>
      <w:r w:rsidR="000F73AA">
        <w:rPr>
          <w:rFonts w:ascii="Times New Roman" w:hAnsi="Times New Roman"/>
          <w:color w:val="auto"/>
          <w:sz w:val="24"/>
          <w:szCs w:val="24"/>
          <w:lang w:val="ru-RU"/>
        </w:rPr>
        <w:t>в соответствии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с семью глобальны</w:t>
      </w:r>
      <w:r w:rsidR="000F73AA">
        <w:rPr>
          <w:rFonts w:ascii="Times New Roman" w:hAnsi="Times New Roman"/>
          <w:color w:val="auto"/>
          <w:sz w:val="24"/>
          <w:szCs w:val="24"/>
          <w:lang w:val="ru-RU"/>
        </w:rPr>
        <w:t>ми целями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. Работа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должна быть завершена к декабрю 2016 года, и ее отчет будет представлен на рассмотрение Генеральной ассамблее. </w:t>
      </w:r>
      <w:proofErr w:type="gram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IAEG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и Статистическая комиссия ООН официально признают роль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и переложили ответственность за дальнейшее уточнение и разработку методологии для показателей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SDG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, связанных со стихийными бедствиями, на эту рабочую группу.</w:t>
      </w:r>
      <w:proofErr w:type="gramEnd"/>
    </w:p>
    <w:p w:rsidR="00802880" w:rsidRPr="00802880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drr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framework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open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ended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working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group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</w:p>
    <w:p w:rsidR="00802880" w:rsidRPr="00802880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Последняя версия документов доступна по ссылке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81C88" w:rsidRPr="00111318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drr</w:t>
      </w:r>
      <w:proofErr w:type="spellEnd"/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framework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open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ended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working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group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sessional</w:t>
      </w:r>
      <w:r w:rsidRPr="0011131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intersessionaldocuments</w:t>
      </w:r>
      <w:proofErr w:type="spellEnd"/>
    </w:p>
    <w:sectPr w:rsidR="00781C88" w:rsidRPr="001113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146"/>
    <w:multiLevelType w:val="hybridMultilevel"/>
    <w:tmpl w:val="DBDE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DAE"/>
    <w:multiLevelType w:val="hybridMultilevel"/>
    <w:tmpl w:val="544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F71"/>
    <w:rsid w:val="00040034"/>
    <w:rsid w:val="000476F9"/>
    <w:rsid w:val="00053D20"/>
    <w:rsid w:val="000A210D"/>
    <w:rsid w:val="000A229E"/>
    <w:rsid w:val="000E0E3A"/>
    <w:rsid w:val="000F73AA"/>
    <w:rsid w:val="00111318"/>
    <w:rsid w:val="00116248"/>
    <w:rsid w:val="001470A2"/>
    <w:rsid w:val="00165896"/>
    <w:rsid w:val="001A163A"/>
    <w:rsid w:val="001E2FC9"/>
    <w:rsid w:val="0026591C"/>
    <w:rsid w:val="002748C1"/>
    <w:rsid w:val="00291FA0"/>
    <w:rsid w:val="002A5270"/>
    <w:rsid w:val="002E122C"/>
    <w:rsid w:val="002E15F9"/>
    <w:rsid w:val="002F481B"/>
    <w:rsid w:val="002F63E5"/>
    <w:rsid w:val="00303D71"/>
    <w:rsid w:val="003143BC"/>
    <w:rsid w:val="003746BC"/>
    <w:rsid w:val="003C2C65"/>
    <w:rsid w:val="003D58DC"/>
    <w:rsid w:val="00407E4E"/>
    <w:rsid w:val="004143B4"/>
    <w:rsid w:val="00421928"/>
    <w:rsid w:val="0044609B"/>
    <w:rsid w:val="0049293C"/>
    <w:rsid w:val="00495484"/>
    <w:rsid w:val="004E087E"/>
    <w:rsid w:val="005169D6"/>
    <w:rsid w:val="0054104C"/>
    <w:rsid w:val="005D1938"/>
    <w:rsid w:val="005D3C56"/>
    <w:rsid w:val="005E47BD"/>
    <w:rsid w:val="00622425"/>
    <w:rsid w:val="00694160"/>
    <w:rsid w:val="006B260E"/>
    <w:rsid w:val="006B3939"/>
    <w:rsid w:val="006C2488"/>
    <w:rsid w:val="006D7049"/>
    <w:rsid w:val="006F5C07"/>
    <w:rsid w:val="00702333"/>
    <w:rsid w:val="00705161"/>
    <w:rsid w:val="0075371E"/>
    <w:rsid w:val="00780F08"/>
    <w:rsid w:val="00781C88"/>
    <w:rsid w:val="00781DE7"/>
    <w:rsid w:val="007B0CFD"/>
    <w:rsid w:val="007C27E0"/>
    <w:rsid w:val="007D1185"/>
    <w:rsid w:val="007F06DF"/>
    <w:rsid w:val="007F61C3"/>
    <w:rsid w:val="00802880"/>
    <w:rsid w:val="00836F3E"/>
    <w:rsid w:val="00853C09"/>
    <w:rsid w:val="008A70E3"/>
    <w:rsid w:val="00904CDA"/>
    <w:rsid w:val="009508D1"/>
    <w:rsid w:val="00957A62"/>
    <w:rsid w:val="00980F79"/>
    <w:rsid w:val="00982FE8"/>
    <w:rsid w:val="009C064B"/>
    <w:rsid w:val="009C5DEF"/>
    <w:rsid w:val="00A131F1"/>
    <w:rsid w:val="00A26752"/>
    <w:rsid w:val="00A618FC"/>
    <w:rsid w:val="00A71EC6"/>
    <w:rsid w:val="00A82CD3"/>
    <w:rsid w:val="00A91FDE"/>
    <w:rsid w:val="00AB2D2C"/>
    <w:rsid w:val="00AC1A97"/>
    <w:rsid w:val="00AE7C0D"/>
    <w:rsid w:val="00B0378B"/>
    <w:rsid w:val="00B71BA1"/>
    <w:rsid w:val="00B72F77"/>
    <w:rsid w:val="00BD29EC"/>
    <w:rsid w:val="00BE2C5D"/>
    <w:rsid w:val="00C8596F"/>
    <w:rsid w:val="00CA1CB1"/>
    <w:rsid w:val="00CB28B7"/>
    <w:rsid w:val="00D05466"/>
    <w:rsid w:val="00D2044C"/>
    <w:rsid w:val="00D2619D"/>
    <w:rsid w:val="00DA19D7"/>
    <w:rsid w:val="00E03D08"/>
    <w:rsid w:val="00E123F7"/>
    <w:rsid w:val="00E21B43"/>
    <w:rsid w:val="00E27922"/>
    <w:rsid w:val="00E33CA8"/>
    <w:rsid w:val="00E90BD4"/>
    <w:rsid w:val="00EB362A"/>
    <w:rsid w:val="00EB389E"/>
    <w:rsid w:val="00EE0900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eventionweb.net/documents/oiewg/Technical%20Collection%20of%20Concept%20Notes%20%20on%20Indicator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86F3-D716-4309-8166-B51FC07F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21</cp:revision>
  <dcterms:created xsi:type="dcterms:W3CDTF">2022-01-28T06:55:00Z</dcterms:created>
  <dcterms:modified xsi:type="dcterms:W3CDTF">2022-01-28T08:56:00Z</dcterms:modified>
</cp:coreProperties>
</file>