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78726E">
      <w:pPr>
        <w:pBdr>
          <w:top w:val="nil"/>
          <w:left w:val="nil"/>
          <w:bottom w:val="nil"/>
          <w:right w:val="nil"/>
          <w:between w:val="nil"/>
          <w:bar w:val="nil"/>
        </w:pBdr>
        <w:spacing w:after="0"/>
        <w:rPr>
          <w:rFonts w:eastAsia="Arial Unicode MS" w:cs="Times New Roman"/>
          <w:b/>
          <w:szCs w:val="24"/>
          <w:bdr w:val="nil"/>
          <w:lang w:eastAsia="ru-RU"/>
        </w:rPr>
      </w:pPr>
    </w:p>
    <w:p w:rsidR="003143BC" w:rsidRPr="00A343D5" w:rsidRDefault="003143BC" w:rsidP="00A343D5">
      <w:pPr>
        <w:pBdr>
          <w:top w:val="nil"/>
          <w:left w:val="nil"/>
          <w:bottom w:val="nil"/>
          <w:right w:val="nil"/>
          <w:between w:val="nil"/>
          <w:bar w:val="nil"/>
        </w:pBdr>
        <w:spacing w:after="0"/>
        <w:jc w:val="center"/>
        <w:rPr>
          <w:rFonts w:eastAsia="Arial Unicode MS" w:cs="Times New Roman"/>
          <w:b/>
          <w:szCs w:val="24"/>
          <w:bdr w:val="nil"/>
          <w:lang w:eastAsia="ru-RU"/>
        </w:rPr>
      </w:pPr>
      <w:r w:rsidRPr="00A343D5">
        <w:rPr>
          <w:rFonts w:eastAsia="Arial Unicode MS" w:cs="Times New Roman"/>
          <w:b/>
          <w:szCs w:val="24"/>
          <w:bdr w:val="nil"/>
          <w:lang w:eastAsia="ru-RU"/>
        </w:rPr>
        <w:t>Метаданные показателя ЦУР</w:t>
      </w:r>
    </w:p>
    <w:p w:rsidR="003143BC" w:rsidRPr="00A343D5" w:rsidRDefault="003143BC" w:rsidP="00A343D5">
      <w:pPr>
        <w:pBdr>
          <w:top w:val="nil"/>
          <w:left w:val="nil"/>
          <w:bottom w:val="nil"/>
          <w:right w:val="nil"/>
          <w:between w:val="nil"/>
          <w:bar w:val="nil"/>
        </w:pBdr>
        <w:spacing w:after="0"/>
        <w:jc w:val="center"/>
        <w:rPr>
          <w:rFonts w:eastAsia="Arial Unicode MS" w:cs="Times New Roman"/>
          <w:b/>
          <w:szCs w:val="24"/>
          <w:bdr w:val="nil"/>
          <w:lang w:eastAsia="ru-RU"/>
        </w:rPr>
      </w:pPr>
      <w:r w:rsidRPr="00A343D5">
        <w:rPr>
          <w:rFonts w:eastAsia="Arial Unicode MS" w:cs="Times New Roman"/>
          <w:b/>
          <w:szCs w:val="24"/>
          <w:bdr w:val="nil"/>
          <w:lang w:eastAsia="ru-RU"/>
        </w:rPr>
        <w:t>(Гармонизированный шаблон метаданных - версия формата 1.0)</w:t>
      </w:r>
    </w:p>
    <w:p w:rsidR="003143BC" w:rsidRPr="00A343D5" w:rsidRDefault="003143BC" w:rsidP="00393B97">
      <w:pPr>
        <w:pStyle w:val="ac"/>
        <w:numPr>
          <w:ilvl w:val="0"/>
          <w:numId w:val="1"/>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A343D5">
        <w:rPr>
          <w:rFonts w:eastAsia="Arial Unicode MS" w:cs="Times New Roman"/>
          <w:b/>
          <w:szCs w:val="24"/>
          <w:bdr w:val="nil"/>
          <w:lang w:eastAsia="ru-RU"/>
        </w:rPr>
        <w:t xml:space="preserve">Информация о показателе </w:t>
      </w:r>
    </w:p>
    <w:p w:rsidR="003143BC" w:rsidRPr="00A343D5" w:rsidRDefault="003143BC"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a</w:t>
      </w:r>
      <w:r w:rsidRPr="00A343D5">
        <w:rPr>
          <w:rFonts w:eastAsia="Arial Unicode MS" w:cs="Times New Roman"/>
          <w:b/>
          <w:szCs w:val="24"/>
          <w:bdr w:val="nil"/>
          <w:lang w:eastAsia="ru-RU"/>
        </w:rPr>
        <w:t>. Цель</w:t>
      </w:r>
    </w:p>
    <w:p w:rsidR="002D493B" w:rsidRPr="00E36CE2" w:rsidRDefault="00780F08" w:rsidP="0016743D">
      <w:pPr>
        <w:pBdr>
          <w:top w:val="nil"/>
          <w:left w:val="nil"/>
          <w:bottom w:val="nil"/>
          <w:right w:val="nil"/>
          <w:between w:val="nil"/>
          <w:bar w:val="nil"/>
        </w:pBdr>
        <w:spacing w:after="0"/>
      </w:pPr>
      <w:r w:rsidRPr="00A343D5">
        <w:rPr>
          <w:rFonts w:eastAsia="Arial Unicode MS" w:cs="Times New Roman"/>
          <w:szCs w:val="24"/>
          <w:bdr w:val="nil"/>
          <w:lang w:eastAsia="ru-RU"/>
        </w:rPr>
        <w:t xml:space="preserve">Цель </w:t>
      </w:r>
      <w:r w:rsidR="00935B97">
        <w:rPr>
          <w:rFonts w:eastAsia="Arial Unicode MS" w:cs="Times New Roman"/>
          <w:szCs w:val="24"/>
          <w:bdr w:val="nil"/>
          <w:lang w:eastAsia="ru-RU"/>
        </w:rPr>
        <w:t>1</w:t>
      </w:r>
      <w:r w:rsidR="002D493B" w:rsidRPr="002D493B">
        <w:rPr>
          <w:rFonts w:eastAsia="Arial Unicode MS" w:cs="Times New Roman"/>
          <w:szCs w:val="24"/>
          <w:bdr w:val="nil"/>
          <w:lang w:eastAsia="ru-RU"/>
        </w:rPr>
        <w:t>5</w:t>
      </w:r>
      <w:r w:rsidRPr="00A343D5">
        <w:rPr>
          <w:rFonts w:eastAsia="Arial Unicode MS" w:cs="Times New Roman"/>
          <w:szCs w:val="24"/>
          <w:bdr w:val="nil"/>
          <w:lang w:eastAsia="ru-RU"/>
        </w:rPr>
        <w:t xml:space="preserve">: </w:t>
      </w:r>
      <w:r w:rsidR="002D493B" w:rsidRPr="002D493B">
        <w:t xml:space="preserve">Защита и восстановление экосистем </w:t>
      </w:r>
      <w:proofErr w:type="gramStart"/>
      <w:r w:rsidR="002D493B" w:rsidRPr="002D493B">
        <w:t>суши</w:t>
      </w:r>
      <w:proofErr w:type="gramEnd"/>
      <w:r w:rsidR="002D493B" w:rsidRPr="002D493B">
        <w:t xml:space="preserve"> и содействие их рациональному использованию, рациональное лесопользование, борьба с опустыниванием, прекращение и обращение вспять процесса деградации земель и прекращение процесса утраты биологического разнообразия</w:t>
      </w:r>
    </w:p>
    <w:p w:rsidR="003143BC" w:rsidRPr="00A343D5" w:rsidRDefault="003143BC" w:rsidP="0016743D">
      <w:pPr>
        <w:pBdr>
          <w:top w:val="nil"/>
          <w:left w:val="nil"/>
          <w:bottom w:val="nil"/>
          <w:right w:val="nil"/>
          <w:between w:val="nil"/>
          <w:bar w:val="nil"/>
        </w:pBdr>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b</w:t>
      </w:r>
      <w:r w:rsidRPr="00A343D5">
        <w:rPr>
          <w:rFonts w:eastAsia="Arial Unicode MS" w:cs="Times New Roman"/>
          <w:b/>
          <w:szCs w:val="24"/>
          <w:bdr w:val="nil"/>
          <w:lang w:eastAsia="ru-RU"/>
        </w:rPr>
        <w:t>. Задача</w:t>
      </w:r>
    </w:p>
    <w:p w:rsidR="002F63E5" w:rsidRPr="00147D02" w:rsidRDefault="00935B97" w:rsidP="00A343D5">
      <w:pPr>
        <w:pBdr>
          <w:top w:val="nil"/>
          <w:left w:val="nil"/>
          <w:bottom w:val="nil"/>
          <w:right w:val="nil"/>
          <w:between w:val="nil"/>
          <w:bar w:val="nil"/>
        </w:pBdr>
        <w:spacing w:after="0"/>
        <w:rPr>
          <w:rFonts w:cs="Times New Roman"/>
          <w:szCs w:val="24"/>
        </w:rPr>
      </w:pPr>
      <w:r>
        <w:rPr>
          <w:rFonts w:cs="Times New Roman"/>
          <w:szCs w:val="24"/>
        </w:rPr>
        <w:t>1</w:t>
      </w:r>
      <w:r w:rsidR="002D493B" w:rsidRPr="002D493B">
        <w:rPr>
          <w:rFonts w:cs="Times New Roman"/>
          <w:szCs w:val="24"/>
        </w:rPr>
        <w:t>5</w:t>
      </w:r>
      <w:r w:rsidR="00780F08" w:rsidRPr="00A343D5">
        <w:rPr>
          <w:rFonts w:cs="Times New Roman"/>
          <w:szCs w:val="24"/>
        </w:rPr>
        <w:t>.</w:t>
      </w:r>
      <w:r w:rsidR="00AE510C">
        <w:rPr>
          <w:rFonts w:cs="Times New Roman"/>
          <w:szCs w:val="24"/>
        </w:rPr>
        <w:t>4</w:t>
      </w:r>
      <w:r w:rsidR="00780F08" w:rsidRPr="00A343D5">
        <w:rPr>
          <w:rFonts w:cs="Times New Roman"/>
          <w:szCs w:val="24"/>
        </w:rPr>
        <w:t xml:space="preserve">.  </w:t>
      </w:r>
      <w:r w:rsidR="00AE510C" w:rsidRPr="00AE510C">
        <w:rPr>
          <w:rFonts w:cs="Times New Roman"/>
          <w:szCs w:val="24"/>
        </w:rPr>
        <w:t>К 2030 году обеспечить сохранение горных экосистем, в том числе их биоразнообразия, для того чтобы повысить их способность давать блага, необходимые для устойчивого развития</w:t>
      </w:r>
    </w:p>
    <w:p w:rsidR="003143BC" w:rsidRPr="00A343D5" w:rsidRDefault="003143BC"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0.с. Показатель</w:t>
      </w:r>
    </w:p>
    <w:p w:rsidR="00067E3E" w:rsidRPr="00147D02" w:rsidRDefault="003143BC" w:rsidP="006677B0">
      <w:pPr>
        <w:pBdr>
          <w:top w:val="nil"/>
          <w:left w:val="nil"/>
          <w:bottom w:val="nil"/>
          <w:right w:val="nil"/>
          <w:between w:val="nil"/>
          <w:bar w:val="nil"/>
        </w:pBdr>
        <w:spacing w:after="0"/>
        <w:rPr>
          <w:rFonts w:cs="Times New Roman"/>
          <w:szCs w:val="24"/>
        </w:rPr>
      </w:pPr>
      <w:r w:rsidRPr="00A343D5">
        <w:rPr>
          <w:rFonts w:cs="Times New Roman"/>
          <w:szCs w:val="24"/>
        </w:rPr>
        <w:t xml:space="preserve">Показатель </w:t>
      </w:r>
      <w:r w:rsidR="00935B97">
        <w:rPr>
          <w:rFonts w:cs="Times New Roman"/>
          <w:szCs w:val="24"/>
        </w:rPr>
        <w:t>1</w:t>
      </w:r>
      <w:r w:rsidR="002D493B" w:rsidRPr="002D493B">
        <w:rPr>
          <w:rFonts w:cs="Times New Roman"/>
          <w:szCs w:val="24"/>
        </w:rPr>
        <w:t>5</w:t>
      </w:r>
      <w:r w:rsidR="00780F08" w:rsidRPr="00A343D5">
        <w:rPr>
          <w:rFonts w:cs="Times New Roman"/>
          <w:szCs w:val="24"/>
        </w:rPr>
        <w:t>.</w:t>
      </w:r>
      <w:r w:rsidR="00DA623E">
        <w:rPr>
          <w:rFonts w:cs="Times New Roman"/>
          <w:szCs w:val="24"/>
        </w:rPr>
        <w:t>4</w:t>
      </w:r>
      <w:r w:rsidR="00465587">
        <w:rPr>
          <w:rFonts w:cs="Times New Roman"/>
          <w:szCs w:val="24"/>
        </w:rPr>
        <w:t>.</w:t>
      </w:r>
      <w:r w:rsidR="00DA623E">
        <w:rPr>
          <w:rFonts w:cs="Times New Roman"/>
          <w:szCs w:val="24"/>
        </w:rPr>
        <w:t>2</w:t>
      </w:r>
      <w:bookmarkStart w:id="0" w:name="_GoBack"/>
      <w:bookmarkEnd w:id="0"/>
      <w:r w:rsidR="006677B0">
        <w:rPr>
          <w:rFonts w:cs="Times New Roman"/>
          <w:szCs w:val="24"/>
        </w:rPr>
        <w:t>.</w:t>
      </w:r>
      <w:r w:rsidR="006677B0" w:rsidRPr="006677B0">
        <w:rPr>
          <w:rFonts w:cs="Times New Roman"/>
          <w:szCs w:val="24"/>
        </w:rPr>
        <w:t xml:space="preserve"> </w:t>
      </w:r>
      <w:r w:rsidR="00AE510C" w:rsidRPr="00AE510C">
        <w:rPr>
          <w:rFonts w:cs="Times New Roman"/>
          <w:szCs w:val="24"/>
        </w:rPr>
        <w:t>Индекс растительного покрова гор</w:t>
      </w:r>
    </w:p>
    <w:p w:rsidR="003143BC" w:rsidRDefault="003143BC" w:rsidP="006677B0">
      <w:pPr>
        <w:pBdr>
          <w:top w:val="nil"/>
          <w:left w:val="nil"/>
          <w:bottom w:val="nil"/>
          <w:right w:val="nil"/>
          <w:between w:val="nil"/>
          <w:bar w:val="nil"/>
        </w:pBdr>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d</w:t>
      </w:r>
      <w:r w:rsidRPr="00A343D5">
        <w:rPr>
          <w:rFonts w:eastAsia="Arial Unicode MS" w:cs="Times New Roman"/>
          <w:b/>
          <w:szCs w:val="24"/>
          <w:bdr w:val="nil"/>
          <w:lang w:eastAsia="ru-RU"/>
        </w:rPr>
        <w:t xml:space="preserve">. </w:t>
      </w:r>
      <w:r w:rsidR="00A41B68" w:rsidRPr="00A343D5">
        <w:rPr>
          <w:rFonts w:eastAsia="Arial Unicode MS" w:cs="Times New Roman"/>
          <w:b/>
          <w:szCs w:val="24"/>
          <w:bdr w:val="nil"/>
          <w:lang w:eastAsia="ru-RU"/>
        </w:rPr>
        <w:t>Ряд</w:t>
      </w:r>
      <w:r w:rsidR="00704A8D" w:rsidRPr="00A343D5">
        <w:rPr>
          <w:rFonts w:eastAsia="Arial Unicode MS" w:cs="Times New Roman"/>
          <w:b/>
          <w:szCs w:val="24"/>
          <w:bdr w:val="nil"/>
          <w:lang w:eastAsia="ru-RU"/>
        </w:rPr>
        <w:t xml:space="preserve"> данных</w:t>
      </w:r>
    </w:p>
    <w:p w:rsidR="002540B1" w:rsidRPr="002540B1" w:rsidRDefault="002540B1" w:rsidP="002540B1">
      <w:pPr>
        <w:pStyle w:val="a0"/>
        <w:rPr>
          <w:lang w:eastAsia="ru-RU"/>
        </w:rPr>
      </w:pPr>
    </w:p>
    <w:p w:rsidR="00C8596F" w:rsidRPr="00A343D5" w:rsidRDefault="00C8596F"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e</w:t>
      </w:r>
      <w:r w:rsidRPr="00A343D5">
        <w:rPr>
          <w:rFonts w:eastAsia="Arial Unicode MS" w:cs="Times New Roman"/>
          <w:b/>
          <w:szCs w:val="24"/>
          <w:bdr w:val="nil"/>
          <w:lang w:eastAsia="ru-RU"/>
        </w:rPr>
        <w:t xml:space="preserve">. Обновление данных </w:t>
      </w:r>
    </w:p>
    <w:p w:rsidR="00C8596F" w:rsidRPr="00A343D5" w:rsidRDefault="00AE510C" w:rsidP="00A343D5">
      <w:pPr>
        <w:pBdr>
          <w:top w:val="nil"/>
          <w:left w:val="nil"/>
          <w:bottom w:val="nil"/>
          <w:right w:val="nil"/>
          <w:between w:val="nil"/>
          <w:bar w:val="nil"/>
        </w:pBdr>
        <w:tabs>
          <w:tab w:val="left" w:pos="284"/>
        </w:tabs>
        <w:spacing w:after="0"/>
        <w:rPr>
          <w:rFonts w:eastAsia="Arial Unicode MS" w:cs="Times New Roman"/>
          <w:szCs w:val="24"/>
          <w:bdr w:val="nil"/>
          <w:lang w:eastAsia="ru-RU"/>
        </w:rPr>
      </w:pPr>
      <w:r>
        <w:rPr>
          <w:rFonts w:eastAsia="Arial Unicode MS" w:cs="Times New Roman"/>
          <w:szCs w:val="24"/>
          <w:bdr w:val="nil"/>
          <w:lang w:eastAsia="ru-RU"/>
        </w:rPr>
        <w:t>12 февраля</w:t>
      </w:r>
      <w:r w:rsidR="008501F4">
        <w:rPr>
          <w:rFonts w:eastAsia="Arial Unicode MS" w:cs="Times New Roman"/>
          <w:szCs w:val="24"/>
          <w:bdr w:val="nil"/>
          <w:lang w:eastAsia="ru-RU"/>
        </w:rPr>
        <w:t xml:space="preserve"> 2021</w:t>
      </w:r>
    </w:p>
    <w:p w:rsidR="00C8596F" w:rsidRDefault="00C8596F" w:rsidP="00A343D5">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f</w:t>
      </w:r>
      <w:r w:rsidRPr="00A343D5">
        <w:rPr>
          <w:rFonts w:eastAsia="Arial Unicode MS" w:cs="Times New Roman"/>
          <w:b/>
          <w:szCs w:val="24"/>
          <w:bdr w:val="nil"/>
          <w:lang w:eastAsia="ru-RU"/>
        </w:rPr>
        <w:t xml:space="preserve">. Связанные показатели </w:t>
      </w:r>
    </w:p>
    <w:p w:rsidR="00942EA9" w:rsidRPr="00942EA9" w:rsidRDefault="00032707" w:rsidP="00942EA9">
      <w:pPr>
        <w:pBdr>
          <w:top w:val="nil"/>
          <w:left w:val="nil"/>
          <w:bottom w:val="nil"/>
          <w:right w:val="nil"/>
          <w:between w:val="nil"/>
          <w:bar w:val="nil"/>
        </w:pBdr>
        <w:tabs>
          <w:tab w:val="left" w:pos="284"/>
        </w:tabs>
        <w:spacing w:after="0"/>
        <w:rPr>
          <w:rStyle w:val="tlid-translation"/>
          <w:rFonts w:cs="Times New Roman"/>
          <w:szCs w:val="24"/>
        </w:rPr>
      </w:pPr>
      <w:r>
        <w:rPr>
          <w:rStyle w:val="tlid-translation"/>
          <w:rFonts w:cs="Times New Roman"/>
          <w:szCs w:val="24"/>
        </w:rPr>
        <w:t xml:space="preserve">Показатели </w:t>
      </w:r>
      <w:r w:rsidR="00AE510C" w:rsidRPr="00AE510C">
        <w:rPr>
          <w:rStyle w:val="tlid-translation"/>
          <w:rFonts w:cs="Times New Roman"/>
          <w:szCs w:val="24"/>
        </w:rPr>
        <w:t>6.6.1, 15.1.1, 15.2.1</w:t>
      </w:r>
    </w:p>
    <w:p w:rsidR="00A91FDE" w:rsidRPr="008501F4" w:rsidRDefault="00E33CA8" w:rsidP="00A343D5">
      <w:pPr>
        <w:pBdr>
          <w:top w:val="nil"/>
          <w:left w:val="nil"/>
          <w:bottom w:val="nil"/>
          <w:right w:val="nil"/>
          <w:between w:val="nil"/>
          <w:bar w:val="nil"/>
        </w:pBdr>
        <w:tabs>
          <w:tab w:val="left" w:pos="284"/>
        </w:tabs>
        <w:spacing w:after="0"/>
        <w:rPr>
          <w:rFonts w:eastAsia="Arial Unicode MS" w:cs="Times New Roman"/>
          <w:szCs w:val="24"/>
          <w:bdr w:val="nil"/>
          <w:lang w:eastAsia="ru-RU"/>
        </w:rPr>
      </w:pPr>
      <w:r w:rsidRPr="00A343D5">
        <w:rPr>
          <w:rFonts w:eastAsia="Arial Unicode MS" w:cs="Times New Roman"/>
          <w:b/>
          <w:szCs w:val="24"/>
          <w:bdr w:val="nil"/>
          <w:lang w:eastAsia="ru-RU"/>
        </w:rPr>
        <w:t>0.</w:t>
      </w:r>
      <w:r w:rsidRPr="00A343D5">
        <w:rPr>
          <w:rFonts w:eastAsia="Arial Unicode MS" w:cs="Times New Roman"/>
          <w:b/>
          <w:szCs w:val="24"/>
          <w:bdr w:val="nil"/>
          <w:lang w:val="en-US" w:eastAsia="ru-RU"/>
        </w:rPr>
        <w:t>g</w:t>
      </w:r>
      <w:r w:rsidRPr="00A343D5">
        <w:rPr>
          <w:rFonts w:eastAsia="Arial Unicode MS" w:cs="Times New Roman"/>
          <w:b/>
          <w:szCs w:val="24"/>
          <w:bdr w:val="nil"/>
          <w:lang w:eastAsia="ru-RU"/>
        </w:rPr>
        <w:t>. Международные организации, ответственные за глобальный мониторинг</w:t>
      </w:r>
    </w:p>
    <w:p w:rsidR="00AE510C" w:rsidRPr="00AE510C" w:rsidRDefault="00AE510C" w:rsidP="00AE510C">
      <w:pPr>
        <w:spacing w:after="200"/>
        <w:rPr>
          <w:rFonts w:cs="Times New Roman"/>
          <w:bCs/>
          <w:color w:val="000000" w:themeColor="text1"/>
          <w:szCs w:val="24"/>
          <w:shd w:val="clear" w:color="auto" w:fill="FFFFFF"/>
        </w:rPr>
      </w:pPr>
      <w:bookmarkStart w:id="1" w:name="_Toc37932744"/>
      <w:bookmarkStart w:id="2" w:name="_Toc36813072"/>
      <w:bookmarkStart w:id="3" w:name="_Toc36812685"/>
      <w:bookmarkStart w:id="4" w:name="_Toc36812572"/>
      <w:bookmarkStart w:id="5" w:name="_Toc36655609"/>
      <w:r w:rsidRPr="00AE510C">
        <w:rPr>
          <w:rFonts w:cs="Times New Roman"/>
          <w:bCs/>
          <w:color w:val="000000" w:themeColor="text1"/>
          <w:szCs w:val="24"/>
          <w:shd w:val="clear" w:color="auto" w:fill="FFFFFF"/>
        </w:rPr>
        <w:t>Про</w:t>
      </w:r>
      <w:r w:rsidRPr="00AE510C">
        <w:rPr>
          <w:rFonts w:cs="Times New Roman"/>
          <w:bCs/>
          <w:color w:val="000000" w:themeColor="text1"/>
          <w:szCs w:val="24"/>
          <w:shd w:val="clear" w:color="auto" w:fill="FFFFFF"/>
        </w:rPr>
        <w:softHyphen/>
        <w:t>до</w:t>
      </w:r>
      <w:r w:rsidRPr="00AE510C">
        <w:rPr>
          <w:rFonts w:cs="Times New Roman"/>
          <w:bCs/>
          <w:color w:val="000000" w:themeColor="text1"/>
          <w:szCs w:val="24"/>
          <w:shd w:val="clear" w:color="auto" w:fill="FFFFFF"/>
        </w:rPr>
        <w:softHyphen/>
        <w:t>вольст</w:t>
      </w:r>
      <w:r w:rsidRPr="00AE510C">
        <w:rPr>
          <w:rFonts w:cs="Times New Roman"/>
          <w:bCs/>
          <w:color w:val="000000" w:themeColor="text1"/>
          <w:szCs w:val="24"/>
          <w:shd w:val="clear" w:color="auto" w:fill="FFFFFF"/>
        </w:rPr>
        <w:softHyphen/>
        <w:t>вен</w:t>
      </w:r>
      <w:r w:rsidRPr="00AE510C">
        <w:rPr>
          <w:rFonts w:cs="Times New Roman"/>
          <w:bCs/>
          <w:color w:val="000000" w:themeColor="text1"/>
          <w:szCs w:val="24"/>
          <w:shd w:val="clear" w:color="auto" w:fill="FFFFFF"/>
        </w:rPr>
        <w:softHyphen/>
        <w:t>ная и сельс</w:t>
      </w:r>
      <w:r w:rsidRPr="00AE510C">
        <w:rPr>
          <w:rFonts w:cs="Times New Roman"/>
          <w:bCs/>
          <w:color w:val="000000" w:themeColor="text1"/>
          <w:szCs w:val="24"/>
          <w:shd w:val="clear" w:color="auto" w:fill="FFFFFF"/>
        </w:rPr>
        <w:softHyphen/>
        <w:t>ко</w:t>
      </w:r>
      <w:r w:rsidRPr="00AE510C">
        <w:rPr>
          <w:rFonts w:cs="Times New Roman"/>
          <w:bCs/>
          <w:color w:val="000000" w:themeColor="text1"/>
          <w:szCs w:val="24"/>
          <w:shd w:val="clear" w:color="auto" w:fill="FFFFFF"/>
        </w:rPr>
        <w:softHyphen/>
        <w:t>хо</w:t>
      </w:r>
      <w:r w:rsidRPr="00AE510C">
        <w:rPr>
          <w:rFonts w:cs="Times New Roman"/>
          <w:bCs/>
          <w:color w:val="000000" w:themeColor="text1"/>
          <w:szCs w:val="24"/>
          <w:shd w:val="clear" w:color="auto" w:fill="FFFFFF"/>
        </w:rPr>
        <w:softHyphen/>
        <w:t>зяйственная организация ООН (ФАО)</w:t>
      </w:r>
    </w:p>
    <w:p w:rsidR="00957A62" w:rsidRPr="00162B33" w:rsidRDefault="00957A62" w:rsidP="00A343D5">
      <w:pPr>
        <w:pStyle w:val="MHeader"/>
        <w:rPr>
          <w:b/>
          <w:color w:val="auto"/>
          <w:sz w:val="24"/>
          <w:szCs w:val="24"/>
          <w:lang w:val="ru-RU"/>
        </w:rPr>
      </w:pPr>
      <w:r w:rsidRPr="00162B33">
        <w:rPr>
          <w:b/>
          <w:color w:val="auto"/>
          <w:sz w:val="24"/>
          <w:szCs w:val="24"/>
          <w:lang w:val="ru-RU"/>
        </w:rPr>
        <w:t xml:space="preserve">1. </w:t>
      </w:r>
      <w:bookmarkEnd w:id="1"/>
      <w:bookmarkEnd w:id="2"/>
      <w:bookmarkEnd w:id="3"/>
      <w:bookmarkEnd w:id="4"/>
      <w:bookmarkEnd w:id="5"/>
      <w:r w:rsidR="00853C09" w:rsidRPr="00162B33">
        <w:rPr>
          <w:b/>
          <w:color w:val="auto"/>
          <w:sz w:val="24"/>
          <w:szCs w:val="24"/>
          <w:lang w:val="ru-RU"/>
        </w:rPr>
        <w:t xml:space="preserve">Данные представлены </w:t>
      </w:r>
    </w:p>
    <w:p w:rsidR="00162B33" w:rsidRPr="00162B33" w:rsidRDefault="00957A62" w:rsidP="00162B33">
      <w:r w:rsidRPr="00162B33">
        <w:t>1.a. Организация</w:t>
      </w:r>
    </w:p>
    <w:p w:rsidR="00AE510C" w:rsidRPr="00AE510C" w:rsidRDefault="00AE510C" w:rsidP="00AE510C">
      <w:pPr>
        <w:spacing w:after="200"/>
        <w:rPr>
          <w:rFonts w:cs="Times New Roman"/>
          <w:bCs/>
          <w:color w:val="000000" w:themeColor="text1"/>
          <w:szCs w:val="24"/>
          <w:shd w:val="clear" w:color="auto" w:fill="FFFFFF"/>
        </w:rPr>
      </w:pPr>
      <w:r w:rsidRPr="00AE510C">
        <w:rPr>
          <w:rFonts w:cs="Times New Roman"/>
          <w:bCs/>
          <w:color w:val="000000" w:themeColor="text1"/>
          <w:szCs w:val="24"/>
          <w:shd w:val="clear" w:color="auto" w:fill="FFFFFF"/>
        </w:rPr>
        <w:t>Про</w:t>
      </w:r>
      <w:r w:rsidRPr="00AE510C">
        <w:rPr>
          <w:rFonts w:cs="Times New Roman"/>
          <w:bCs/>
          <w:color w:val="000000" w:themeColor="text1"/>
          <w:szCs w:val="24"/>
          <w:shd w:val="clear" w:color="auto" w:fill="FFFFFF"/>
        </w:rPr>
        <w:softHyphen/>
        <w:t>до</w:t>
      </w:r>
      <w:r w:rsidRPr="00AE510C">
        <w:rPr>
          <w:rFonts w:cs="Times New Roman"/>
          <w:bCs/>
          <w:color w:val="000000" w:themeColor="text1"/>
          <w:szCs w:val="24"/>
          <w:shd w:val="clear" w:color="auto" w:fill="FFFFFF"/>
        </w:rPr>
        <w:softHyphen/>
        <w:t>вольст</w:t>
      </w:r>
      <w:r w:rsidRPr="00AE510C">
        <w:rPr>
          <w:rFonts w:cs="Times New Roman"/>
          <w:bCs/>
          <w:color w:val="000000" w:themeColor="text1"/>
          <w:szCs w:val="24"/>
          <w:shd w:val="clear" w:color="auto" w:fill="FFFFFF"/>
        </w:rPr>
        <w:softHyphen/>
        <w:t>вен</w:t>
      </w:r>
      <w:r w:rsidRPr="00AE510C">
        <w:rPr>
          <w:rFonts w:cs="Times New Roman"/>
          <w:bCs/>
          <w:color w:val="000000" w:themeColor="text1"/>
          <w:szCs w:val="24"/>
          <w:shd w:val="clear" w:color="auto" w:fill="FFFFFF"/>
        </w:rPr>
        <w:softHyphen/>
        <w:t>ная и сельс</w:t>
      </w:r>
      <w:r w:rsidRPr="00AE510C">
        <w:rPr>
          <w:rFonts w:cs="Times New Roman"/>
          <w:bCs/>
          <w:color w:val="000000" w:themeColor="text1"/>
          <w:szCs w:val="24"/>
          <w:shd w:val="clear" w:color="auto" w:fill="FFFFFF"/>
        </w:rPr>
        <w:softHyphen/>
        <w:t>ко</w:t>
      </w:r>
      <w:r w:rsidRPr="00AE510C">
        <w:rPr>
          <w:rFonts w:cs="Times New Roman"/>
          <w:bCs/>
          <w:color w:val="000000" w:themeColor="text1"/>
          <w:szCs w:val="24"/>
          <w:shd w:val="clear" w:color="auto" w:fill="FFFFFF"/>
        </w:rPr>
        <w:softHyphen/>
        <w:t>хо</w:t>
      </w:r>
      <w:r w:rsidRPr="00AE510C">
        <w:rPr>
          <w:rFonts w:cs="Times New Roman"/>
          <w:bCs/>
          <w:color w:val="000000" w:themeColor="text1"/>
          <w:szCs w:val="24"/>
          <w:shd w:val="clear" w:color="auto" w:fill="FFFFFF"/>
        </w:rPr>
        <w:softHyphen/>
        <w:t>зяйственная организация ООН (ФАО)</w:t>
      </w:r>
    </w:p>
    <w:p w:rsidR="0018458D" w:rsidRPr="002D493B" w:rsidRDefault="00957A62" w:rsidP="0018458D">
      <w:pPr>
        <w:pStyle w:val="MHeader"/>
        <w:rPr>
          <w:b/>
          <w:color w:val="auto"/>
          <w:sz w:val="24"/>
          <w:lang w:val="ru-RU"/>
        </w:rPr>
      </w:pPr>
      <w:r w:rsidRPr="002D493B">
        <w:rPr>
          <w:b/>
          <w:color w:val="auto"/>
          <w:sz w:val="24"/>
          <w:lang w:val="ru-RU"/>
        </w:rPr>
        <w:t xml:space="preserve">2. Определения, </w:t>
      </w:r>
      <w:r w:rsidR="00A41B68" w:rsidRPr="002D493B">
        <w:rPr>
          <w:b/>
          <w:color w:val="auto"/>
          <w:sz w:val="24"/>
          <w:lang w:val="ru-RU"/>
        </w:rPr>
        <w:t>понятия</w:t>
      </w:r>
      <w:r w:rsidRPr="002D493B">
        <w:rPr>
          <w:b/>
          <w:color w:val="auto"/>
          <w:sz w:val="24"/>
          <w:lang w:val="ru-RU"/>
        </w:rPr>
        <w:t xml:space="preserve"> и классификации</w:t>
      </w:r>
    </w:p>
    <w:p w:rsidR="002D493B" w:rsidRPr="002D493B" w:rsidRDefault="002D493B" w:rsidP="002D493B">
      <w:pPr>
        <w:rPr>
          <w:b/>
        </w:rPr>
      </w:pPr>
      <w:r w:rsidRPr="002D493B">
        <w:rPr>
          <w:b/>
        </w:rPr>
        <w:t>Определения</w:t>
      </w:r>
    </w:p>
    <w:p w:rsidR="00AE510C" w:rsidRPr="00AE510C" w:rsidRDefault="00AE510C" w:rsidP="00AE510C">
      <w:r w:rsidRPr="00AE510C">
        <w:rPr>
          <w:i/>
        </w:rPr>
        <w:t>Индекс  растительного покрова гор</w:t>
      </w:r>
      <w:r w:rsidRPr="00AE510C">
        <w:t xml:space="preserve"> предназначен для измерения изменений площадей зеленой растительности в горных районах - например, леса, кустарники, деревья, пастбища, посевы сельскохозяйственных культур и т. д. - для мониторинга изменения горных объектов. </w:t>
      </w:r>
    </w:p>
    <w:p w:rsidR="00AE510C" w:rsidRPr="00AE510C" w:rsidRDefault="00AE510C" w:rsidP="00AE510C">
      <w:r w:rsidRPr="00AE510C">
        <w:t>Индекс характеризует изменение растительного покрова, что в свою очередь будет характеризовать статус сохранности горной среды.</w:t>
      </w:r>
    </w:p>
    <w:p w:rsidR="00F44343" w:rsidRPr="002D493B" w:rsidRDefault="002D493B" w:rsidP="00F44343">
      <w:pPr>
        <w:pStyle w:val="a0"/>
        <w:rPr>
          <w:b/>
        </w:rPr>
      </w:pPr>
      <w:r w:rsidRPr="002D493B">
        <w:rPr>
          <w:b/>
        </w:rPr>
        <w:t>Основные понятия</w:t>
      </w:r>
    </w:p>
    <w:p w:rsidR="00AE510C" w:rsidRPr="00AE510C" w:rsidRDefault="00AE510C" w:rsidP="00AE510C">
      <w:r>
        <w:t xml:space="preserve">1) </w:t>
      </w:r>
      <w:r w:rsidRPr="00AE510C">
        <w:t xml:space="preserve">Горы определяются в соответствии с классификацией UNEP-WCMC (Программа Организации Объединённых Наций по окружающей среде - Всемирный центр мониторинга окружающей среды), которая идентифицирует их в соответствии с высотой, наклоном и местным диапазоном возвышений, как описано </w:t>
      </w:r>
      <w:proofErr w:type="spellStart"/>
      <w:r w:rsidRPr="00AE510C">
        <w:t>Kapos</w:t>
      </w:r>
      <w:proofErr w:type="spellEnd"/>
      <w:r w:rsidRPr="00AE510C">
        <w:t xml:space="preserve"> </w:t>
      </w:r>
      <w:proofErr w:type="spellStart"/>
      <w:r w:rsidRPr="00AE510C">
        <w:t>et</w:t>
      </w:r>
      <w:proofErr w:type="spellEnd"/>
      <w:r w:rsidRPr="00AE510C">
        <w:t xml:space="preserve"> </w:t>
      </w:r>
      <w:proofErr w:type="spellStart"/>
      <w:r w:rsidRPr="00AE510C">
        <w:t>al</w:t>
      </w:r>
      <w:proofErr w:type="spellEnd"/>
      <w:r w:rsidRPr="00AE510C">
        <w:t>. 2000:</w:t>
      </w:r>
    </w:p>
    <w:p w:rsidR="00AE510C" w:rsidRPr="00AE510C" w:rsidRDefault="00AE510C" w:rsidP="00AE510C">
      <w:r w:rsidRPr="00AE510C">
        <w:t xml:space="preserve">Класс 1: высота 4500 метров </w:t>
      </w:r>
    </w:p>
    <w:p w:rsidR="00AE510C" w:rsidRPr="00AE510C" w:rsidRDefault="00AE510C" w:rsidP="00AE510C">
      <w:r w:rsidRPr="00AE510C">
        <w:t xml:space="preserve">Класс 2: высота 3,500-4,500 метров </w:t>
      </w:r>
    </w:p>
    <w:p w:rsidR="00AE510C" w:rsidRPr="00AE510C" w:rsidRDefault="00AE510C" w:rsidP="00AE510C">
      <w:r w:rsidRPr="00AE510C">
        <w:lastRenderedPageBreak/>
        <w:t xml:space="preserve">Класс 3: высота 2500-3500 метров </w:t>
      </w:r>
    </w:p>
    <w:p w:rsidR="00AE510C" w:rsidRPr="00AE510C" w:rsidRDefault="00AE510C" w:rsidP="00AE510C">
      <w:r w:rsidRPr="00AE510C">
        <w:t xml:space="preserve">Класс 4: высота 1500-2 500 метров и наклон&gt; 2 </w:t>
      </w:r>
    </w:p>
    <w:p w:rsidR="00AE510C" w:rsidRPr="00AE510C" w:rsidRDefault="00AE510C" w:rsidP="00AE510C">
      <w:r w:rsidRPr="00AE510C">
        <w:t xml:space="preserve">Класс 5: высота 1000-1 500 метров и наклон&gt; 5 или местная высота (LER 7-километровый радиус)&gt; 300 метров </w:t>
      </w:r>
    </w:p>
    <w:p w:rsidR="00AE510C" w:rsidRDefault="00AE510C" w:rsidP="00AE510C">
      <w:r w:rsidRPr="00AE510C">
        <w:t>Класс 6: высота 300-1 000 метров и местный диапазон высоты (радиус 7 километров)&gt; 300 метров</w:t>
      </w:r>
    </w:p>
    <w:p w:rsidR="00AE510C" w:rsidRPr="00AE510C" w:rsidRDefault="00AE510C" w:rsidP="00AE510C">
      <w:r w:rsidRPr="00AE510C">
        <w:t xml:space="preserve">2) Слой дескриптора растительности: Слой дескриптора растительности подразделяет земной покров на зеленые и </w:t>
      </w:r>
      <w:proofErr w:type="spellStart"/>
      <w:r w:rsidRPr="00AE510C">
        <w:t>незеленые</w:t>
      </w:r>
      <w:proofErr w:type="spellEnd"/>
      <w:r w:rsidRPr="00AE510C">
        <w:t xml:space="preserve"> области. Зеленая растительность включает как естественную растительность, так и растительность, возникшую в результате антропогенной деятельности (например, посевы, облесение и т. Д.). </w:t>
      </w:r>
      <w:proofErr w:type="spellStart"/>
      <w:r w:rsidRPr="00AE510C">
        <w:t>Незеленые</w:t>
      </w:r>
      <w:proofErr w:type="spellEnd"/>
      <w:r w:rsidRPr="00AE510C">
        <w:t xml:space="preserve"> территории включают районы с очень скудной растительностью, голые земли, воду, вечный лед / снег и городские районы. Слой описания растительности может быть получен разными способами, но карты земного покрова на основе дистанционного зондирования являются наиболее удобным источником данных для этой цели, поскольку они предоставляют необходимую информацию о зеленых и </w:t>
      </w:r>
      <w:proofErr w:type="spellStart"/>
      <w:r w:rsidRPr="00AE510C">
        <w:t>незеленых</w:t>
      </w:r>
      <w:proofErr w:type="spellEnd"/>
      <w:r w:rsidRPr="00AE510C">
        <w:t xml:space="preserve"> территориях в </w:t>
      </w:r>
      <w:proofErr w:type="spellStart"/>
      <w:r w:rsidRPr="00AE510C">
        <w:t>пространственно</w:t>
      </w:r>
      <w:proofErr w:type="spellEnd"/>
      <w:r w:rsidRPr="00AE510C">
        <w:t xml:space="preserve"> явном виде и позволяют сравнивать с течением времени посредством анализа изменений земного покрова.</w:t>
      </w:r>
    </w:p>
    <w:p w:rsidR="00AE510C" w:rsidRPr="00AE510C" w:rsidRDefault="00AE510C" w:rsidP="00AE510C">
      <w:r w:rsidRPr="00AE510C">
        <w:t>В настоящее время ФАО использует временные ряды земного покрова, подготовленные Европейским космическим агентством (</w:t>
      </w:r>
      <w:r w:rsidR="00EF24FF" w:rsidRPr="00EF24FF">
        <w:t>ТПП</w:t>
      </w:r>
      <w:r w:rsidRPr="00AE510C">
        <w:t>) в рамках Инициативы по изменению климата (</w:t>
      </w:r>
      <w:r w:rsidRPr="00AE510C">
        <w:rPr>
          <w:lang w:val="en-GB"/>
        </w:rPr>
        <w:t>CCI</w:t>
      </w:r>
      <w:r w:rsidRPr="00AE510C">
        <w:t xml:space="preserve">), в качестве общего решения. Исходные классы </w:t>
      </w:r>
      <w:r w:rsidRPr="00AE510C">
        <w:rPr>
          <w:lang w:val="en-GB"/>
        </w:rPr>
        <w:t>CCI</w:t>
      </w:r>
      <w:r w:rsidRPr="00AE510C">
        <w:t xml:space="preserve"> </w:t>
      </w:r>
      <w:proofErr w:type="spellStart"/>
      <w:r w:rsidRPr="00AE510C">
        <w:t>переклассифицированы</w:t>
      </w:r>
      <w:proofErr w:type="spellEnd"/>
      <w:r w:rsidRPr="00AE510C">
        <w:t xml:space="preserve"> в шесть классов </w:t>
      </w:r>
      <w:r w:rsidR="00BD4C64" w:rsidRPr="00BD4C64">
        <w:t>МГЭИК</w:t>
      </w:r>
      <w:r w:rsidRPr="00AE510C">
        <w:t xml:space="preserve"> и далее в бинарные классы зеленого / </w:t>
      </w:r>
      <w:proofErr w:type="spellStart"/>
      <w:r w:rsidRPr="00AE510C">
        <w:t>незеленого</w:t>
      </w:r>
      <w:proofErr w:type="spellEnd"/>
      <w:r w:rsidRPr="00AE510C">
        <w:t xml:space="preserve"> покрытия следующим образом:</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AE510C" w:rsidRPr="00AE510C" w:rsidTr="007C5879">
        <w:trPr>
          <w:trHeight w:val="261"/>
        </w:trPr>
        <w:tc>
          <w:tcPr>
            <w:tcW w:w="3005" w:type="dxa"/>
            <w:tcBorders>
              <w:bottom w:val="single" w:sz="4" w:space="0" w:color="auto"/>
            </w:tcBorders>
          </w:tcPr>
          <w:p w:rsidR="00AE510C" w:rsidRPr="00B931ED" w:rsidRDefault="00EF24FF" w:rsidP="00B931ED">
            <w:pPr>
              <w:pStyle w:val="a0"/>
            </w:pPr>
            <w:r w:rsidRPr="00EF24FF">
              <w:rPr>
                <w:lang w:val="en-GB"/>
              </w:rPr>
              <w:t>ТПП ЕКА</w:t>
            </w:r>
            <w:r>
              <w:rPr>
                <w:lang w:val="en-GB"/>
              </w:rPr>
              <w:t xml:space="preserve"> </w:t>
            </w:r>
            <w:r w:rsidR="00B931ED">
              <w:t>класс</w:t>
            </w:r>
          </w:p>
        </w:tc>
        <w:tc>
          <w:tcPr>
            <w:tcW w:w="3005" w:type="dxa"/>
            <w:tcBorders>
              <w:bottom w:val="single" w:sz="4" w:space="0" w:color="auto"/>
            </w:tcBorders>
          </w:tcPr>
          <w:p w:rsidR="00AE510C" w:rsidRPr="00B931ED" w:rsidRDefault="00BD4C64" w:rsidP="00B931ED">
            <w:pPr>
              <w:pStyle w:val="a0"/>
            </w:pPr>
            <w:r>
              <w:rPr>
                <w:lang w:val="en-GB"/>
              </w:rPr>
              <w:t xml:space="preserve">МГЭИК </w:t>
            </w:r>
            <w:r w:rsidR="00B931ED">
              <w:t>класс</w:t>
            </w:r>
          </w:p>
        </w:tc>
        <w:tc>
          <w:tcPr>
            <w:tcW w:w="3006" w:type="dxa"/>
            <w:tcBorders>
              <w:bottom w:val="single" w:sz="4" w:space="0" w:color="auto"/>
            </w:tcBorders>
          </w:tcPr>
          <w:p w:rsidR="00AE510C" w:rsidRPr="00B931ED" w:rsidRDefault="00B931ED" w:rsidP="00B931ED">
            <w:pPr>
              <w:pStyle w:val="a0"/>
            </w:pPr>
            <w:r>
              <w:t>Зеленые</w:t>
            </w:r>
            <w:r w:rsidR="00AE510C" w:rsidRPr="00AE510C">
              <w:rPr>
                <w:lang w:val="en-GB"/>
              </w:rPr>
              <w:t xml:space="preserve"> / </w:t>
            </w:r>
            <w:proofErr w:type="spellStart"/>
            <w:r>
              <w:t>Незеленые</w:t>
            </w:r>
            <w:proofErr w:type="spellEnd"/>
          </w:p>
        </w:tc>
      </w:tr>
      <w:tr w:rsidR="00AE510C" w:rsidRPr="00AE510C" w:rsidTr="007C5879">
        <w:trPr>
          <w:trHeight w:val="620"/>
        </w:trPr>
        <w:tc>
          <w:tcPr>
            <w:tcW w:w="3005" w:type="dxa"/>
            <w:tcBorders>
              <w:top w:val="single" w:sz="4" w:space="0" w:color="auto"/>
            </w:tcBorders>
          </w:tcPr>
          <w:p w:rsidR="00AE510C" w:rsidRPr="00AE510C" w:rsidRDefault="00AE510C" w:rsidP="00AE510C">
            <w:pPr>
              <w:pStyle w:val="a0"/>
              <w:rPr>
                <w:lang w:val="en-GB"/>
              </w:rPr>
            </w:pPr>
            <w:r w:rsidRPr="00AE510C">
              <w:rPr>
                <w:lang w:val="en-GB"/>
              </w:rPr>
              <w:t>50, 60, 61, 62, 70, 71, 72, 80, 81, 82, 90, 100</w:t>
            </w:r>
          </w:p>
        </w:tc>
        <w:tc>
          <w:tcPr>
            <w:tcW w:w="3005" w:type="dxa"/>
            <w:tcBorders>
              <w:top w:val="single" w:sz="4" w:space="0" w:color="auto"/>
            </w:tcBorders>
          </w:tcPr>
          <w:p w:rsidR="00AE510C" w:rsidRPr="00AE510C" w:rsidRDefault="00B931ED" w:rsidP="00AE510C">
            <w:pPr>
              <w:pStyle w:val="a0"/>
              <w:rPr>
                <w:lang w:val="en-GB"/>
              </w:rPr>
            </w:pPr>
            <w:r>
              <w:t>Лес</w:t>
            </w:r>
            <w:r w:rsidR="00AE510C" w:rsidRPr="00AE510C">
              <w:rPr>
                <w:vertAlign w:val="superscript"/>
                <w:lang w:val="en-GB"/>
              </w:rPr>
              <w:footnoteReference w:id="1"/>
            </w:r>
          </w:p>
        </w:tc>
        <w:tc>
          <w:tcPr>
            <w:tcW w:w="3006" w:type="dxa"/>
            <w:tcBorders>
              <w:top w:val="single" w:sz="4" w:space="0" w:color="auto"/>
            </w:tcBorders>
          </w:tcPr>
          <w:p w:rsidR="00AE510C" w:rsidRPr="00B931ED" w:rsidRDefault="00B931ED" w:rsidP="00AE510C">
            <w:pPr>
              <w:pStyle w:val="a0"/>
            </w:pPr>
            <w:r>
              <w:t>Зеленые</w:t>
            </w:r>
          </w:p>
        </w:tc>
      </w:tr>
      <w:tr w:rsidR="00AE510C" w:rsidRPr="00AE510C" w:rsidTr="007C5879">
        <w:trPr>
          <w:trHeight w:val="432"/>
        </w:trPr>
        <w:tc>
          <w:tcPr>
            <w:tcW w:w="3005" w:type="dxa"/>
          </w:tcPr>
          <w:p w:rsidR="00AE510C" w:rsidRPr="00AE510C" w:rsidRDefault="00AE510C" w:rsidP="00AE510C">
            <w:pPr>
              <w:pStyle w:val="a0"/>
              <w:rPr>
                <w:lang w:val="en-GB"/>
              </w:rPr>
            </w:pPr>
            <w:r w:rsidRPr="00AE510C">
              <w:rPr>
                <w:lang w:val="en-GB"/>
              </w:rPr>
              <w:t xml:space="preserve">110, 120, 121, 122, 130, 140, </w:t>
            </w:r>
          </w:p>
        </w:tc>
        <w:tc>
          <w:tcPr>
            <w:tcW w:w="3005" w:type="dxa"/>
          </w:tcPr>
          <w:p w:rsidR="00AE510C" w:rsidRPr="00B931ED" w:rsidRDefault="00B931ED" w:rsidP="00AE510C">
            <w:pPr>
              <w:pStyle w:val="a0"/>
            </w:pPr>
            <w:r>
              <w:t>Пастбища</w:t>
            </w:r>
          </w:p>
        </w:tc>
        <w:tc>
          <w:tcPr>
            <w:tcW w:w="3006" w:type="dxa"/>
          </w:tcPr>
          <w:p w:rsidR="00AE510C" w:rsidRPr="00AE510C" w:rsidRDefault="00B931ED" w:rsidP="00AE510C">
            <w:pPr>
              <w:pStyle w:val="a0"/>
              <w:rPr>
                <w:lang w:val="en-GB"/>
              </w:rPr>
            </w:pPr>
            <w:r>
              <w:t>Зеленые</w:t>
            </w:r>
          </w:p>
        </w:tc>
      </w:tr>
      <w:tr w:rsidR="00AE510C" w:rsidRPr="00AE510C" w:rsidTr="007C5879">
        <w:trPr>
          <w:trHeight w:val="369"/>
        </w:trPr>
        <w:tc>
          <w:tcPr>
            <w:tcW w:w="3005" w:type="dxa"/>
          </w:tcPr>
          <w:p w:rsidR="00AE510C" w:rsidRPr="00AE510C" w:rsidRDefault="00AE510C" w:rsidP="00AE510C">
            <w:pPr>
              <w:pStyle w:val="a0"/>
              <w:rPr>
                <w:lang w:val="en-GB"/>
              </w:rPr>
            </w:pPr>
            <w:r w:rsidRPr="00AE510C">
              <w:rPr>
                <w:lang w:val="en-GB"/>
              </w:rPr>
              <w:t>10,11, 12, 20, 30, 40</w:t>
            </w:r>
          </w:p>
        </w:tc>
        <w:tc>
          <w:tcPr>
            <w:tcW w:w="3005" w:type="dxa"/>
          </w:tcPr>
          <w:p w:rsidR="00AE510C" w:rsidRPr="00AE510C" w:rsidRDefault="00B931ED" w:rsidP="00AE510C">
            <w:pPr>
              <w:pStyle w:val="a0"/>
              <w:rPr>
                <w:lang w:val="en-GB"/>
              </w:rPr>
            </w:pPr>
            <w:r>
              <w:t>П</w:t>
            </w:r>
            <w:proofErr w:type="spellStart"/>
            <w:r w:rsidRPr="00B931ED">
              <w:rPr>
                <w:lang w:val="en-GB"/>
              </w:rPr>
              <w:t>ахотные</w:t>
            </w:r>
            <w:proofErr w:type="spellEnd"/>
            <w:r w:rsidRPr="00B931ED">
              <w:rPr>
                <w:lang w:val="en-GB"/>
              </w:rPr>
              <w:t xml:space="preserve"> </w:t>
            </w:r>
            <w:proofErr w:type="spellStart"/>
            <w:r w:rsidRPr="00B931ED">
              <w:rPr>
                <w:lang w:val="en-GB"/>
              </w:rPr>
              <w:t>земли</w:t>
            </w:r>
            <w:proofErr w:type="spellEnd"/>
          </w:p>
        </w:tc>
        <w:tc>
          <w:tcPr>
            <w:tcW w:w="3006" w:type="dxa"/>
          </w:tcPr>
          <w:p w:rsidR="00AE510C" w:rsidRPr="00AE510C" w:rsidRDefault="00B931ED" w:rsidP="00AE510C">
            <w:pPr>
              <w:pStyle w:val="a0"/>
              <w:rPr>
                <w:lang w:val="en-GB"/>
              </w:rPr>
            </w:pPr>
            <w:r>
              <w:t>Зеленые</w:t>
            </w:r>
          </w:p>
        </w:tc>
      </w:tr>
      <w:tr w:rsidR="00AE510C" w:rsidRPr="00AE510C" w:rsidTr="007C5879">
        <w:trPr>
          <w:trHeight w:val="450"/>
        </w:trPr>
        <w:tc>
          <w:tcPr>
            <w:tcW w:w="3005" w:type="dxa"/>
          </w:tcPr>
          <w:p w:rsidR="00AE510C" w:rsidRPr="00AE510C" w:rsidRDefault="00AE510C" w:rsidP="00AE510C">
            <w:pPr>
              <w:pStyle w:val="a0"/>
              <w:rPr>
                <w:lang w:val="en-GB"/>
              </w:rPr>
            </w:pPr>
            <w:r w:rsidRPr="00AE510C">
              <w:rPr>
                <w:lang w:val="en-GB"/>
              </w:rPr>
              <w:t>160, 170, 180</w:t>
            </w:r>
          </w:p>
        </w:tc>
        <w:tc>
          <w:tcPr>
            <w:tcW w:w="3005" w:type="dxa"/>
          </w:tcPr>
          <w:p w:rsidR="00AE510C" w:rsidRPr="00B931ED" w:rsidRDefault="00B931ED" w:rsidP="00AE510C">
            <w:pPr>
              <w:pStyle w:val="a0"/>
            </w:pPr>
            <w:r>
              <w:t xml:space="preserve">Водно-болотные </w:t>
            </w:r>
            <w:proofErr w:type="spellStart"/>
            <w:r>
              <w:t>угодия</w:t>
            </w:r>
            <w:proofErr w:type="spellEnd"/>
          </w:p>
        </w:tc>
        <w:tc>
          <w:tcPr>
            <w:tcW w:w="3006" w:type="dxa"/>
          </w:tcPr>
          <w:p w:rsidR="00AE510C" w:rsidRPr="00AE510C" w:rsidRDefault="00B931ED" w:rsidP="00AE510C">
            <w:pPr>
              <w:pStyle w:val="a0"/>
              <w:rPr>
                <w:lang w:val="en-GB"/>
              </w:rPr>
            </w:pPr>
            <w:r>
              <w:t>Зеленые</w:t>
            </w:r>
          </w:p>
        </w:tc>
      </w:tr>
      <w:tr w:rsidR="00AE510C" w:rsidRPr="00AE510C" w:rsidTr="007C5879">
        <w:trPr>
          <w:trHeight w:val="450"/>
        </w:trPr>
        <w:tc>
          <w:tcPr>
            <w:tcW w:w="3005" w:type="dxa"/>
          </w:tcPr>
          <w:p w:rsidR="00AE510C" w:rsidRPr="00AE510C" w:rsidRDefault="00AE510C" w:rsidP="00AE510C">
            <w:pPr>
              <w:pStyle w:val="a0"/>
              <w:rPr>
                <w:lang w:val="en-GB"/>
              </w:rPr>
            </w:pPr>
            <w:r w:rsidRPr="00AE510C">
              <w:rPr>
                <w:lang w:val="en-GB"/>
              </w:rPr>
              <w:t>190</w:t>
            </w:r>
          </w:p>
        </w:tc>
        <w:tc>
          <w:tcPr>
            <w:tcW w:w="3005" w:type="dxa"/>
          </w:tcPr>
          <w:p w:rsidR="00AE510C" w:rsidRPr="00B931ED" w:rsidRDefault="00B931ED" w:rsidP="00AE510C">
            <w:pPr>
              <w:pStyle w:val="a0"/>
            </w:pPr>
            <w:r>
              <w:t>Поселения</w:t>
            </w:r>
          </w:p>
        </w:tc>
        <w:tc>
          <w:tcPr>
            <w:tcW w:w="3006" w:type="dxa"/>
          </w:tcPr>
          <w:p w:rsidR="00AE510C" w:rsidRPr="00AE510C" w:rsidRDefault="00B931ED" w:rsidP="00AE510C">
            <w:pPr>
              <w:pStyle w:val="a0"/>
              <w:rPr>
                <w:lang w:val="en-GB"/>
              </w:rPr>
            </w:pPr>
            <w:proofErr w:type="spellStart"/>
            <w:r>
              <w:t>Незеленые</w:t>
            </w:r>
            <w:proofErr w:type="spellEnd"/>
          </w:p>
        </w:tc>
      </w:tr>
      <w:tr w:rsidR="00AE510C" w:rsidRPr="00AE510C" w:rsidTr="007C5879">
        <w:tc>
          <w:tcPr>
            <w:tcW w:w="3005" w:type="dxa"/>
          </w:tcPr>
          <w:p w:rsidR="00AE510C" w:rsidRPr="00AE510C" w:rsidRDefault="00AE510C" w:rsidP="00AE510C">
            <w:pPr>
              <w:pStyle w:val="a0"/>
              <w:rPr>
                <w:lang w:val="en-GB"/>
              </w:rPr>
            </w:pPr>
            <w:r w:rsidRPr="00AE510C">
              <w:rPr>
                <w:lang w:val="en-GB"/>
              </w:rPr>
              <w:t>150, 151, 152, 153, 200, 201, 202, 210, 220</w:t>
            </w:r>
          </w:p>
        </w:tc>
        <w:tc>
          <w:tcPr>
            <w:tcW w:w="3005" w:type="dxa"/>
          </w:tcPr>
          <w:p w:rsidR="00AE510C" w:rsidRPr="00B931ED" w:rsidRDefault="00B931ED" w:rsidP="00AE510C">
            <w:pPr>
              <w:pStyle w:val="a0"/>
            </w:pPr>
            <w:proofErr w:type="spellStart"/>
            <w:r>
              <w:t>Другиеземли</w:t>
            </w:r>
            <w:proofErr w:type="spellEnd"/>
          </w:p>
        </w:tc>
        <w:tc>
          <w:tcPr>
            <w:tcW w:w="3006" w:type="dxa"/>
          </w:tcPr>
          <w:p w:rsidR="00AE510C" w:rsidRPr="00AE510C" w:rsidRDefault="00B931ED" w:rsidP="00AE510C">
            <w:pPr>
              <w:pStyle w:val="a0"/>
              <w:rPr>
                <w:lang w:val="en-GB"/>
              </w:rPr>
            </w:pPr>
            <w:proofErr w:type="spellStart"/>
            <w:r>
              <w:t>Незеленые</w:t>
            </w:r>
            <w:proofErr w:type="spellEnd"/>
          </w:p>
        </w:tc>
      </w:tr>
    </w:tbl>
    <w:p w:rsidR="00AE510C" w:rsidRPr="00AE510C" w:rsidRDefault="00AE510C" w:rsidP="00AE510C">
      <w:pPr>
        <w:pStyle w:val="a0"/>
      </w:pPr>
    </w:p>
    <w:p w:rsidR="00407E4E" w:rsidRPr="006C10F0" w:rsidRDefault="00407E4E" w:rsidP="00C013D8">
      <w:pPr>
        <w:pStyle w:val="MHeader2"/>
        <w:spacing w:line="276" w:lineRule="auto"/>
        <w:rPr>
          <w:color w:val="auto"/>
          <w:sz w:val="24"/>
          <w:szCs w:val="24"/>
          <w:lang w:val="ru-RU"/>
        </w:rPr>
      </w:pPr>
      <w:r w:rsidRPr="006C10F0">
        <w:rPr>
          <w:color w:val="auto"/>
          <w:sz w:val="24"/>
          <w:szCs w:val="24"/>
          <w:lang w:val="ru-RU"/>
        </w:rPr>
        <w:t>2.</w:t>
      </w:r>
      <w:r w:rsidRPr="00A343D5">
        <w:rPr>
          <w:color w:val="auto"/>
          <w:sz w:val="24"/>
          <w:szCs w:val="24"/>
        </w:rPr>
        <w:t>b</w:t>
      </w:r>
      <w:r w:rsidRPr="006C10F0">
        <w:rPr>
          <w:color w:val="auto"/>
          <w:sz w:val="24"/>
          <w:szCs w:val="24"/>
          <w:lang w:val="ru-RU"/>
        </w:rPr>
        <w:t xml:space="preserve">. </w:t>
      </w:r>
      <w:r w:rsidRPr="00A343D5">
        <w:rPr>
          <w:b/>
          <w:color w:val="auto"/>
          <w:sz w:val="24"/>
          <w:szCs w:val="24"/>
          <w:lang w:val="ru-RU"/>
        </w:rPr>
        <w:t>Единица</w:t>
      </w:r>
      <w:r w:rsidRPr="006C10F0">
        <w:rPr>
          <w:b/>
          <w:color w:val="auto"/>
          <w:sz w:val="24"/>
          <w:szCs w:val="24"/>
          <w:lang w:val="ru-RU"/>
        </w:rPr>
        <w:t xml:space="preserve"> </w:t>
      </w:r>
      <w:r w:rsidRPr="00A343D5">
        <w:rPr>
          <w:b/>
          <w:color w:val="auto"/>
          <w:sz w:val="24"/>
          <w:szCs w:val="24"/>
          <w:lang w:val="ru-RU"/>
        </w:rPr>
        <w:t>измерения</w:t>
      </w:r>
    </w:p>
    <w:p w:rsidR="00B90C3B" w:rsidRDefault="00B931ED" w:rsidP="00B90C3B">
      <w:r>
        <w:t>Пропорция (от 0 до 100)</w:t>
      </w:r>
    </w:p>
    <w:p w:rsidR="000A229E" w:rsidRDefault="000A229E" w:rsidP="00F44343">
      <w:pPr>
        <w:pStyle w:val="MHeader2"/>
        <w:spacing w:line="276" w:lineRule="auto"/>
        <w:rPr>
          <w:b/>
          <w:color w:val="auto"/>
          <w:sz w:val="24"/>
          <w:szCs w:val="24"/>
          <w:lang w:val="ru-RU"/>
        </w:rPr>
      </w:pPr>
      <w:r w:rsidRPr="00067E3E">
        <w:rPr>
          <w:color w:val="auto"/>
          <w:sz w:val="24"/>
          <w:szCs w:val="24"/>
          <w:lang w:val="ru-RU"/>
        </w:rPr>
        <w:t>2.</w:t>
      </w:r>
      <w:r w:rsidRPr="00A343D5">
        <w:rPr>
          <w:color w:val="auto"/>
          <w:sz w:val="24"/>
          <w:szCs w:val="24"/>
        </w:rPr>
        <w:t>c</w:t>
      </w:r>
      <w:r w:rsidRPr="00067E3E">
        <w:rPr>
          <w:color w:val="auto"/>
          <w:sz w:val="24"/>
          <w:szCs w:val="24"/>
          <w:lang w:val="ru-RU"/>
        </w:rPr>
        <w:t xml:space="preserve">. </w:t>
      </w:r>
      <w:r w:rsidRPr="00A343D5">
        <w:rPr>
          <w:b/>
          <w:color w:val="auto"/>
          <w:sz w:val="24"/>
          <w:szCs w:val="24"/>
          <w:lang w:val="ru-RU"/>
        </w:rPr>
        <w:t>Классификации</w:t>
      </w:r>
    </w:p>
    <w:p w:rsidR="000A229E" w:rsidRPr="00A343D5" w:rsidRDefault="000A229E" w:rsidP="00A343D5">
      <w:pPr>
        <w:pStyle w:val="MHeader"/>
        <w:rPr>
          <w:b/>
          <w:color w:val="auto"/>
          <w:sz w:val="24"/>
          <w:szCs w:val="24"/>
          <w:lang w:val="ru-RU"/>
        </w:rPr>
      </w:pPr>
      <w:r w:rsidRPr="00A343D5">
        <w:rPr>
          <w:b/>
          <w:color w:val="auto"/>
          <w:sz w:val="24"/>
          <w:szCs w:val="24"/>
          <w:lang w:val="ru-RU"/>
        </w:rPr>
        <w:t>3. Тип источника данных и метод сбора данных</w:t>
      </w:r>
    </w:p>
    <w:p w:rsidR="000A229E" w:rsidRDefault="000A229E" w:rsidP="00A343D5">
      <w:pPr>
        <w:pStyle w:val="MHeader2"/>
        <w:spacing w:line="276" w:lineRule="auto"/>
        <w:rPr>
          <w:b/>
          <w:color w:val="auto"/>
          <w:sz w:val="24"/>
          <w:szCs w:val="24"/>
          <w:lang w:val="ru-RU"/>
        </w:rPr>
      </w:pPr>
      <w:r w:rsidRPr="00A343D5">
        <w:rPr>
          <w:color w:val="auto"/>
          <w:sz w:val="24"/>
          <w:szCs w:val="24"/>
          <w:lang w:val="ru-RU"/>
        </w:rPr>
        <w:t>3.</w:t>
      </w:r>
      <w:r w:rsidRPr="00A343D5">
        <w:rPr>
          <w:color w:val="auto"/>
          <w:sz w:val="24"/>
          <w:szCs w:val="24"/>
        </w:rPr>
        <w:t>a</w:t>
      </w:r>
      <w:r w:rsidRPr="00A343D5">
        <w:rPr>
          <w:color w:val="auto"/>
          <w:sz w:val="24"/>
          <w:szCs w:val="24"/>
          <w:lang w:val="ru-RU"/>
        </w:rPr>
        <w:t xml:space="preserve">. </w:t>
      </w:r>
      <w:r w:rsidRPr="00A343D5">
        <w:rPr>
          <w:b/>
          <w:color w:val="auto"/>
          <w:sz w:val="24"/>
          <w:szCs w:val="24"/>
          <w:lang w:val="ru-RU"/>
        </w:rPr>
        <w:t>Источники данных</w:t>
      </w:r>
    </w:p>
    <w:p w:rsidR="002A7CD7" w:rsidRPr="002A7CD7" w:rsidRDefault="002A7CD7" w:rsidP="00B931ED">
      <w:r w:rsidRPr="002A7CD7">
        <w:lastRenderedPageBreak/>
        <w:t>Описание:</w:t>
      </w:r>
    </w:p>
    <w:p w:rsidR="00B931ED" w:rsidRPr="00B931ED" w:rsidRDefault="00B931ED" w:rsidP="00B931ED">
      <w:r w:rsidRPr="00B931ED">
        <w:t>Глобальные оценки, рассчитанные ФАО, получены с использовани</w:t>
      </w:r>
      <w:r>
        <w:t>ем следующих источников данных:</w:t>
      </w:r>
    </w:p>
    <w:p w:rsidR="00B931ED" w:rsidRPr="00B931ED" w:rsidRDefault="00B931ED" w:rsidP="00B931ED">
      <w:r w:rsidRPr="00B931ED">
        <w:t xml:space="preserve">1) Слой дескриптора растительности: данные ESA CCI </w:t>
      </w:r>
      <w:proofErr w:type="spellStart"/>
      <w:r w:rsidRPr="00B931ED">
        <w:t>Land</w:t>
      </w:r>
      <w:proofErr w:type="spellEnd"/>
      <w:r w:rsidRPr="00B931ED">
        <w:t xml:space="preserve"> </w:t>
      </w:r>
      <w:proofErr w:type="spellStart"/>
      <w:r w:rsidRPr="00B931ED">
        <w:t>Cover</w:t>
      </w:r>
      <w:proofErr w:type="spellEnd"/>
      <w:r w:rsidRPr="00B931ED">
        <w:t xml:space="preserve"> (ESA, 2017)</w:t>
      </w:r>
    </w:p>
    <w:p w:rsidR="00B931ED" w:rsidRPr="00B931ED" w:rsidRDefault="00B931ED" w:rsidP="00B931ED">
      <w:r w:rsidRPr="00B931ED">
        <w:t>Инициатива Европейского космического агентства по изменению климата (ESA CCI) - это программа, направленная на использование всего потенциала данных наблюдения Земли, собранных ESA, для внесения вклада в базы данных основных климатических переменных, требуемых Рамочной конвенцией Организации Объединенных Наций об изменении климата (РКИК ООН).</w:t>
      </w:r>
    </w:p>
    <w:p w:rsidR="00B931ED" w:rsidRPr="00B931ED" w:rsidRDefault="00B931ED" w:rsidP="00B931ED">
      <w:r w:rsidRPr="00B931ED">
        <w:t xml:space="preserve">Продукты CCI </w:t>
      </w:r>
      <w:proofErr w:type="spellStart"/>
      <w:r w:rsidRPr="00B931ED">
        <w:t>Land</w:t>
      </w:r>
      <w:proofErr w:type="spellEnd"/>
      <w:r w:rsidRPr="00B931ED">
        <w:t xml:space="preserve"> </w:t>
      </w:r>
      <w:proofErr w:type="spellStart"/>
      <w:r w:rsidRPr="00B931ED">
        <w:t>Cover</w:t>
      </w:r>
      <w:proofErr w:type="spellEnd"/>
      <w:r w:rsidRPr="00B931ED">
        <w:t xml:space="preserve"> были произведены с использованием комбинации данных дистанционного зондирования, таких как 300 м MERIS, 1 км SPOT –VEGETATION, 1 км PROBA –V и 1 км AVHRR. Продукт CCI состоит из серии ежегодных карт земного покрова с разрешением 300 м, охватывающих период с 1992 по 2018 год. Период с 1992 по 2015 год доступен в растровом формате, а период с 2016 по 2018 год доступен в формате </w:t>
      </w:r>
      <w:proofErr w:type="spellStart"/>
      <w:r w:rsidRPr="00B931ED">
        <w:t>netCDF</w:t>
      </w:r>
      <w:proofErr w:type="spellEnd"/>
      <w:r w:rsidRPr="00B931ED">
        <w:t xml:space="preserve"> и преобразован в GTIFF. требуется, чтобы сделать эти наборы данных доступными для обработки в среде ГИС. Данные о земном покрове ежегодно обновляются Европейским космическим агентством.</w:t>
      </w:r>
    </w:p>
    <w:p w:rsidR="00B931ED" w:rsidRPr="00B931ED" w:rsidRDefault="00B931ED" w:rsidP="00B931ED">
      <w:r w:rsidRPr="00B931ED">
        <w:t>ТПП ЕКА придерживается Системы закрытой классификации Продовольственной и сельскохозяйственной организации Объединенных Наций (Ф</w:t>
      </w:r>
      <w:r>
        <w:t>АО ООН) (</w:t>
      </w:r>
      <w:proofErr w:type="spellStart"/>
      <w:r>
        <w:t>Santoro</w:t>
      </w:r>
      <w:proofErr w:type="spellEnd"/>
      <w:r>
        <w:t xml:space="preserve"> </w:t>
      </w:r>
      <w:proofErr w:type="spellStart"/>
      <w:r>
        <w:t>et</w:t>
      </w:r>
      <w:proofErr w:type="spellEnd"/>
      <w:r>
        <w:t xml:space="preserve"> </w:t>
      </w:r>
      <w:proofErr w:type="spellStart"/>
      <w:r>
        <w:t>al</w:t>
      </w:r>
      <w:proofErr w:type="spellEnd"/>
      <w:r>
        <w:t>., 2015).</w:t>
      </w:r>
    </w:p>
    <w:p w:rsidR="00B931ED" w:rsidRPr="00B931ED" w:rsidRDefault="00B931ED" w:rsidP="00B931ED">
      <w:r w:rsidRPr="00B931ED">
        <w:t>2) Слой дескриптора горы:</w:t>
      </w:r>
    </w:p>
    <w:p w:rsidR="00B931ED" w:rsidRPr="00B931ED" w:rsidRDefault="00B931ED" w:rsidP="00B931ED">
      <w:r w:rsidRPr="00B931ED">
        <w:t xml:space="preserve">Слой глобальных дескрипторов гор основан на классификации гор, предложенной </w:t>
      </w:r>
      <w:proofErr w:type="spellStart"/>
      <w:r w:rsidRPr="00B931ED">
        <w:t>Kapos</w:t>
      </w:r>
      <w:proofErr w:type="spellEnd"/>
      <w:r w:rsidRPr="00B931ED">
        <w:t xml:space="preserve"> </w:t>
      </w:r>
      <w:proofErr w:type="spellStart"/>
      <w:r w:rsidRPr="00B931ED">
        <w:t>et</w:t>
      </w:r>
      <w:proofErr w:type="spellEnd"/>
      <w:r w:rsidRPr="00B931ED">
        <w:t xml:space="preserve"> </w:t>
      </w:r>
      <w:proofErr w:type="spellStart"/>
      <w:r w:rsidRPr="00B931ED">
        <w:t>al</w:t>
      </w:r>
      <w:proofErr w:type="spellEnd"/>
      <w:r w:rsidRPr="00B931ED">
        <w:t>. (2000):</w:t>
      </w:r>
    </w:p>
    <w:p w:rsidR="00B931ED" w:rsidRPr="00B931ED" w:rsidRDefault="00B931ED" w:rsidP="00B931ED">
      <w:r w:rsidRPr="00B931ED">
        <w:t>• Класс 1: высота над уровнем моря&gt; 4500 метров.</w:t>
      </w:r>
    </w:p>
    <w:p w:rsidR="00B931ED" w:rsidRPr="00B931ED" w:rsidRDefault="00B931ED" w:rsidP="00B931ED">
      <w:r w:rsidRPr="00B931ED">
        <w:t>• Класс 2: высота от 3500 до 4500 метров.</w:t>
      </w:r>
    </w:p>
    <w:p w:rsidR="00B931ED" w:rsidRPr="00B931ED" w:rsidRDefault="00B931ED" w:rsidP="00B931ED">
      <w:r w:rsidRPr="00B931ED">
        <w:t>• Класс 3: высота 2500 - 3500 метров.</w:t>
      </w:r>
    </w:p>
    <w:p w:rsidR="00B931ED" w:rsidRPr="00B931ED" w:rsidRDefault="00B931ED" w:rsidP="00B931ED">
      <w:r w:rsidRPr="00B931ED">
        <w:t>• Класс 4: высота 1500 - 2500 метров и уклон ≥ 2</w:t>
      </w:r>
    </w:p>
    <w:p w:rsidR="00B931ED" w:rsidRPr="00B931ED" w:rsidRDefault="00B931ED" w:rsidP="00B931ED">
      <w:r w:rsidRPr="00B931ED">
        <w:t>• Класс 5: высота 1000–1500</w:t>
      </w:r>
      <w:r w:rsidR="002A3B50">
        <w:t xml:space="preserve"> метров и уклон ≥ 5 или </w:t>
      </w:r>
      <w:r w:rsidR="003424DF">
        <w:t xml:space="preserve">местный диапазон высоты </w:t>
      </w:r>
      <w:r w:rsidR="002A3B50">
        <w:t xml:space="preserve"> </w:t>
      </w:r>
      <w:r w:rsidRPr="00B931ED">
        <w:t>(радиус 7 километров) ≥ 300 метров.</w:t>
      </w:r>
    </w:p>
    <w:p w:rsidR="00B931ED" w:rsidRPr="00B931ED" w:rsidRDefault="00B931ED" w:rsidP="00B931ED">
      <w:r w:rsidRPr="00B931ED">
        <w:t xml:space="preserve">• Класс 6: высота 300–1000 метров и </w:t>
      </w:r>
      <w:r w:rsidR="003424DF">
        <w:t xml:space="preserve">местный диапазон высоты </w:t>
      </w:r>
      <w:r w:rsidRPr="00B931ED">
        <w:t>(радиус 7 километров) ≥ 300 метров за пределами 23 ° N – 19 ° S.</w:t>
      </w:r>
    </w:p>
    <w:p w:rsidR="00B931ED" w:rsidRPr="00B931ED" w:rsidRDefault="00B931ED" w:rsidP="00B931ED">
      <w:r w:rsidRPr="00B931ED">
        <w:t xml:space="preserve">• Класс 0: определен для представления </w:t>
      </w:r>
      <w:proofErr w:type="spellStart"/>
      <w:r w:rsidRPr="00B931ED">
        <w:t>негорных</w:t>
      </w:r>
      <w:proofErr w:type="spellEnd"/>
      <w:r w:rsidRPr="00B931ED">
        <w:t xml:space="preserve"> районов.</w:t>
      </w:r>
    </w:p>
    <w:p w:rsidR="00B931ED" w:rsidRPr="00B931ED" w:rsidRDefault="00B931ED" w:rsidP="00B931ED">
      <w:r w:rsidRPr="00B931ED">
        <w:t>Слой описания гор, используемый для получения глобальных оценок, был создан Геологической службой США на основе 250-метровой DEM (</w:t>
      </w:r>
      <w:proofErr w:type="spellStart"/>
      <w:r w:rsidRPr="00B931ED">
        <w:t>Sayre</w:t>
      </w:r>
      <w:proofErr w:type="spellEnd"/>
      <w:r w:rsidRPr="00B931ED">
        <w:t xml:space="preserve"> </w:t>
      </w:r>
      <w:proofErr w:type="spellStart"/>
      <w:r w:rsidRPr="00B931ED">
        <w:t>et</w:t>
      </w:r>
      <w:proofErr w:type="spellEnd"/>
      <w:r w:rsidRPr="00B931ED">
        <w:t xml:space="preserve"> </w:t>
      </w:r>
      <w:proofErr w:type="spellStart"/>
      <w:r w:rsidRPr="00B931ED">
        <w:t>al</w:t>
      </w:r>
      <w:proofErr w:type="spellEnd"/>
      <w:r w:rsidRPr="00B931ED">
        <w:t>. 2018)</w:t>
      </w:r>
    </w:p>
    <w:p w:rsidR="00B931ED" w:rsidRDefault="00B931ED" w:rsidP="00B931ED">
      <w:r w:rsidRPr="00B931ED">
        <w:t>Эти наборы данных могут быть заменены соответствующими на</w:t>
      </w:r>
      <w:r w:rsidR="002A3B50">
        <w:t>циональными источниками данных при их доступности.</w:t>
      </w:r>
    </w:p>
    <w:p w:rsidR="00995788" w:rsidRDefault="000A229E" w:rsidP="003424DF">
      <w:pPr>
        <w:pStyle w:val="MHeader"/>
        <w:rPr>
          <w:b/>
          <w:color w:val="auto"/>
          <w:sz w:val="24"/>
          <w:lang w:val="ru-RU"/>
        </w:rPr>
      </w:pPr>
      <w:r w:rsidRPr="00DA623E">
        <w:rPr>
          <w:b/>
          <w:color w:val="auto"/>
          <w:sz w:val="24"/>
          <w:lang w:val="ru-RU"/>
        </w:rPr>
        <w:t>3.</w:t>
      </w:r>
      <w:r w:rsidRPr="003424DF">
        <w:rPr>
          <w:b/>
          <w:color w:val="auto"/>
          <w:sz w:val="24"/>
        </w:rPr>
        <w:t>b</w:t>
      </w:r>
      <w:r w:rsidRPr="00DA623E">
        <w:rPr>
          <w:b/>
          <w:color w:val="auto"/>
          <w:sz w:val="24"/>
          <w:lang w:val="ru-RU"/>
        </w:rPr>
        <w:t>. Метод сбора данных</w:t>
      </w:r>
    </w:p>
    <w:p w:rsidR="003424DF" w:rsidRPr="003424DF" w:rsidRDefault="003424DF" w:rsidP="003424DF">
      <w:r w:rsidRPr="003424DF">
        <w:t xml:space="preserve">Индикатор генерируется ФАО для всех стран и регионов, имеющих горные районы, с использованием слоев </w:t>
      </w:r>
      <w:proofErr w:type="spellStart"/>
      <w:r w:rsidRPr="003424DF">
        <w:t>геопространственных</w:t>
      </w:r>
      <w:proofErr w:type="spellEnd"/>
      <w:r w:rsidRPr="003424DF">
        <w:t xml:space="preserve"> данных, описанных в этом документе. В соответствии с руководящими принципами IAEG-SDG по глобальным потокам данных и </w:t>
      </w:r>
      <w:r w:rsidRPr="003424DF">
        <w:lastRenderedPageBreak/>
        <w:t>отчетности ФАО предоставляет данные по странам координаторам ЦУР НСУ для их проверки перед публикацией. В то же время ФАО просит страны предоставить свои собственные оценки показателя, если таковые имеются.</w:t>
      </w:r>
    </w:p>
    <w:p w:rsidR="009E707C" w:rsidRPr="003424DF" w:rsidRDefault="009E707C" w:rsidP="003424DF">
      <w:pPr>
        <w:pStyle w:val="MHeader"/>
        <w:rPr>
          <w:b/>
          <w:color w:val="auto"/>
          <w:sz w:val="24"/>
          <w:lang w:val="ru-RU"/>
        </w:rPr>
      </w:pPr>
      <w:r w:rsidRPr="003424DF">
        <w:rPr>
          <w:b/>
          <w:color w:val="auto"/>
          <w:sz w:val="24"/>
          <w:lang w:val="ru-RU"/>
        </w:rPr>
        <w:t>3.</w:t>
      </w:r>
      <w:r w:rsidR="00900860" w:rsidRPr="003424DF">
        <w:rPr>
          <w:b/>
          <w:color w:val="auto"/>
          <w:sz w:val="24"/>
          <w:lang w:val="ru-RU"/>
        </w:rPr>
        <w:t>с</w:t>
      </w:r>
      <w:r w:rsidRPr="003424DF">
        <w:rPr>
          <w:b/>
          <w:color w:val="auto"/>
          <w:sz w:val="24"/>
          <w:lang w:val="ru-RU"/>
        </w:rPr>
        <w:t>.</w:t>
      </w:r>
      <w:r w:rsidR="00900860" w:rsidRPr="003424DF">
        <w:rPr>
          <w:b/>
          <w:color w:val="auto"/>
          <w:sz w:val="24"/>
          <w:lang w:val="ru-RU"/>
        </w:rPr>
        <w:t xml:space="preserve"> </w:t>
      </w:r>
      <w:r w:rsidRPr="003424DF">
        <w:rPr>
          <w:b/>
          <w:color w:val="auto"/>
          <w:sz w:val="24"/>
          <w:lang w:val="ru-RU"/>
        </w:rPr>
        <w:t>Календарь сбора данных</w:t>
      </w:r>
    </w:p>
    <w:p w:rsidR="003424DF" w:rsidRDefault="003424DF" w:rsidP="003424DF">
      <w:r w:rsidRPr="003424DF">
        <w:t xml:space="preserve">ESA CCI </w:t>
      </w:r>
      <w:proofErr w:type="spellStart"/>
      <w:r w:rsidRPr="003424DF">
        <w:t>Land</w:t>
      </w:r>
      <w:proofErr w:type="spellEnd"/>
      <w:r w:rsidRPr="003424DF">
        <w:t xml:space="preserve"> </w:t>
      </w:r>
      <w:proofErr w:type="spellStart"/>
      <w:r w:rsidRPr="003424DF">
        <w:t>Cover</w:t>
      </w:r>
      <w:proofErr w:type="spellEnd"/>
      <w:r w:rsidRPr="003424DF">
        <w:t xml:space="preserve"> доступен с 1992 по 2018 год. Ежегодно предоставляется новая глобальная карта земного покрова.</w:t>
      </w:r>
    </w:p>
    <w:p w:rsidR="000A229E" w:rsidRDefault="009E707C" w:rsidP="000A6836">
      <w:pPr>
        <w:pStyle w:val="MHeader2"/>
        <w:spacing w:line="276" w:lineRule="auto"/>
        <w:rPr>
          <w:b/>
          <w:color w:val="auto"/>
          <w:sz w:val="24"/>
          <w:szCs w:val="24"/>
          <w:lang w:val="ru-RU"/>
        </w:rPr>
      </w:pPr>
      <w:r w:rsidRPr="0056571B">
        <w:rPr>
          <w:color w:val="auto"/>
          <w:sz w:val="24"/>
          <w:szCs w:val="24"/>
          <w:lang w:val="ru-RU"/>
        </w:rPr>
        <w:t>3</w:t>
      </w:r>
      <w:r w:rsidR="000A229E" w:rsidRPr="0056571B">
        <w:rPr>
          <w:color w:val="auto"/>
          <w:sz w:val="24"/>
          <w:szCs w:val="24"/>
          <w:lang w:val="ru-RU"/>
        </w:rPr>
        <w:t>.</w:t>
      </w:r>
      <w:r w:rsidR="000A229E" w:rsidRPr="0056571B">
        <w:rPr>
          <w:color w:val="auto"/>
          <w:sz w:val="24"/>
          <w:szCs w:val="24"/>
        </w:rPr>
        <w:t>d</w:t>
      </w:r>
      <w:r w:rsidR="003A389C" w:rsidRPr="0056571B">
        <w:rPr>
          <w:color w:val="auto"/>
          <w:sz w:val="24"/>
          <w:szCs w:val="24"/>
          <w:lang w:val="ru-RU"/>
        </w:rPr>
        <w:t>.</w:t>
      </w:r>
      <w:r w:rsidR="000A229E" w:rsidRPr="0056571B">
        <w:rPr>
          <w:b/>
          <w:color w:val="auto"/>
          <w:sz w:val="24"/>
          <w:szCs w:val="24"/>
          <w:lang w:val="ru-RU"/>
        </w:rPr>
        <w:t>Календарь выпуска данных</w:t>
      </w:r>
    </w:p>
    <w:p w:rsidR="003424DF" w:rsidRDefault="003424DF" w:rsidP="003424DF">
      <w:r>
        <w:t>Все данные уже доступны.</w:t>
      </w:r>
    </w:p>
    <w:p w:rsidR="000A229E" w:rsidRPr="00A343D5" w:rsidRDefault="000A229E" w:rsidP="00C1236A">
      <w:pPr>
        <w:pStyle w:val="MHeader2"/>
        <w:spacing w:line="276" w:lineRule="auto"/>
        <w:rPr>
          <w:color w:val="auto"/>
          <w:sz w:val="24"/>
          <w:szCs w:val="24"/>
          <w:lang w:val="ru-RU"/>
        </w:rPr>
      </w:pPr>
      <w:r w:rsidRPr="00A343D5">
        <w:rPr>
          <w:color w:val="auto"/>
          <w:sz w:val="24"/>
          <w:szCs w:val="24"/>
          <w:lang w:val="ru-RU"/>
        </w:rPr>
        <w:t>3.</w:t>
      </w:r>
      <w:r w:rsidRPr="00A343D5">
        <w:rPr>
          <w:color w:val="auto"/>
          <w:sz w:val="24"/>
          <w:szCs w:val="24"/>
        </w:rPr>
        <w:t>e</w:t>
      </w:r>
      <w:r w:rsidRPr="00A343D5">
        <w:rPr>
          <w:color w:val="auto"/>
          <w:sz w:val="24"/>
          <w:szCs w:val="24"/>
          <w:lang w:val="ru-RU"/>
        </w:rPr>
        <w:t xml:space="preserve">. </w:t>
      </w:r>
      <w:r w:rsidR="00A71EC6" w:rsidRPr="00A343D5">
        <w:rPr>
          <w:b/>
          <w:color w:val="auto"/>
          <w:sz w:val="24"/>
          <w:szCs w:val="24"/>
          <w:lang w:val="ru-RU"/>
        </w:rPr>
        <w:t>Поставщики данных</w:t>
      </w:r>
    </w:p>
    <w:p w:rsidR="003424DF" w:rsidRPr="003424DF" w:rsidRDefault="003424DF" w:rsidP="003424DF">
      <w:r w:rsidRPr="003424DF">
        <w:t>Европейское космическое агентство (ЕКА)</w:t>
      </w:r>
    </w:p>
    <w:p w:rsidR="003424DF" w:rsidRDefault="003424DF" w:rsidP="003424DF">
      <w:r w:rsidRPr="003424DF">
        <w:t>Геологическая служба США (USGS)</w:t>
      </w:r>
    </w:p>
    <w:p w:rsidR="000A229E" w:rsidRPr="00A343D5" w:rsidRDefault="000A229E" w:rsidP="003424DF">
      <w:pPr>
        <w:pStyle w:val="MHeader2"/>
        <w:spacing w:line="276" w:lineRule="auto"/>
        <w:rPr>
          <w:color w:val="auto"/>
          <w:sz w:val="24"/>
          <w:szCs w:val="24"/>
          <w:lang w:val="ru-RU"/>
        </w:rPr>
      </w:pPr>
      <w:r w:rsidRPr="00A343D5">
        <w:rPr>
          <w:color w:val="auto"/>
          <w:sz w:val="24"/>
          <w:szCs w:val="24"/>
          <w:lang w:val="ru-RU"/>
        </w:rPr>
        <w:t>3.</w:t>
      </w:r>
      <w:r w:rsidRPr="00A343D5">
        <w:rPr>
          <w:color w:val="auto"/>
          <w:sz w:val="24"/>
          <w:szCs w:val="24"/>
        </w:rPr>
        <w:t>f</w:t>
      </w:r>
      <w:r w:rsidRPr="00A343D5">
        <w:rPr>
          <w:color w:val="auto"/>
          <w:sz w:val="24"/>
          <w:szCs w:val="24"/>
          <w:lang w:val="ru-RU"/>
        </w:rPr>
        <w:t xml:space="preserve">. </w:t>
      </w:r>
      <w:r w:rsidRPr="00A343D5">
        <w:rPr>
          <w:b/>
          <w:color w:val="auto"/>
          <w:sz w:val="24"/>
          <w:szCs w:val="24"/>
          <w:lang w:val="ru-RU"/>
        </w:rPr>
        <w:t>Составители данных</w:t>
      </w:r>
    </w:p>
    <w:p w:rsidR="002165E6" w:rsidRDefault="003424DF" w:rsidP="002165E6">
      <w:r>
        <w:t>ФАО</w:t>
      </w:r>
    </w:p>
    <w:p w:rsidR="000A229E" w:rsidRDefault="000A229E" w:rsidP="0056571B">
      <w:pPr>
        <w:pStyle w:val="MHeader2"/>
        <w:spacing w:line="276" w:lineRule="auto"/>
        <w:rPr>
          <w:b/>
          <w:color w:val="auto"/>
          <w:sz w:val="24"/>
          <w:szCs w:val="24"/>
          <w:lang w:val="ru-RU"/>
        </w:rPr>
      </w:pPr>
      <w:r w:rsidRPr="00A343D5">
        <w:rPr>
          <w:color w:val="auto"/>
          <w:sz w:val="24"/>
          <w:szCs w:val="24"/>
          <w:lang w:val="ru-RU"/>
        </w:rPr>
        <w:t>3.</w:t>
      </w:r>
      <w:r w:rsidRPr="00A343D5">
        <w:rPr>
          <w:color w:val="auto"/>
          <w:sz w:val="24"/>
          <w:szCs w:val="24"/>
        </w:rPr>
        <w:t>g</w:t>
      </w:r>
      <w:r w:rsidRPr="00A343D5">
        <w:rPr>
          <w:color w:val="auto"/>
          <w:sz w:val="24"/>
          <w:szCs w:val="24"/>
          <w:lang w:val="ru-RU"/>
        </w:rPr>
        <w:t xml:space="preserve">. </w:t>
      </w:r>
      <w:r w:rsidRPr="00A343D5">
        <w:rPr>
          <w:b/>
          <w:color w:val="auto"/>
          <w:sz w:val="24"/>
          <w:szCs w:val="24"/>
          <w:lang w:val="ru-RU"/>
        </w:rPr>
        <w:t>Институциональный мандат</w:t>
      </w:r>
    </w:p>
    <w:p w:rsidR="003424DF" w:rsidRDefault="003424DF" w:rsidP="003424DF">
      <w:r w:rsidRPr="003424DF">
        <w:t>В статье 1 устава ФАО указано, что «Организация должна собирать, анализировать, интерпретировать и распространять информацию, касающуюся питания, продовольствия и сельского хозяйства». В связи с этим ФАО собирает данные национального уровня от стран-членов, которые затем стандартизирует и распространяет через корпоративные статистические базы данных. ФАО является ответственным учреждением ООН по 21 показателю ЦУР, включая 15.4.2.</w:t>
      </w:r>
    </w:p>
    <w:p w:rsidR="002E15F9" w:rsidRDefault="002E15F9" w:rsidP="00A343D5">
      <w:pPr>
        <w:pStyle w:val="MHeader"/>
        <w:rPr>
          <w:b/>
          <w:color w:val="auto"/>
          <w:sz w:val="24"/>
          <w:szCs w:val="24"/>
          <w:lang w:val="ru-RU"/>
        </w:rPr>
      </w:pPr>
      <w:r w:rsidRPr="00D51C14">
        <w:rPr>
          <w:b/>
          <w:color w:val="auto"/>
          <w:sz w:val="24"/>
          <w:szCs w:val="24"/>
          <w:lang w:val="ru-RU"/>
        </w:rPr>
        <w:t>4. Иные методологические соображения</w:t>
      </w:r>
    </w:p>
    <w:p w:rsidR="002E15F9" w:rsidRPr="00D51C14" w:rsidRDefault="002E15F9" w:rsidP="00A343D5">
      <w:pPr>
        <w:pStyle w:val="MHeader2"/>
        <w:spacing w:line="276" w:lineRule="auto"/>
        <w:rPr>
          <w:b/>
          <w:color w:val="auto"/>
          <w:sz w:val="24"/>
          <w:szCs w:val="24"/>
          <w:lang w:val="ru-RU"/>
        </w:rPr>
      </w:pPr>
      <w:r w:rsidRPr="00A343D5">
        <w:rPr>
          <w:color w:val="auto"/>
          <w:sz w:val="24"/>
          <w:szCs w:val="24"/>
          <w:lang w:val="ru-RU"/>
        </w:rPr>
        <w:t>4.</w:t>
      </w:r>
      <w:r w:rsidRPr="00A343D5">
        <w:rPr>
          <w:color w:val="auto"/>
          <w:sz w:val="24"/>
          <w:szCs w:val="24"/>
        </w:rPr>
        <w:t>a</w:t>
      </w:r>
      <w:r w:rsidRPr="00A343D5">
        <w:rPr>
          <w:color w:val="auto"/>
          <w:sz w:val="24"/>
          <w:szCs w:val="24"/>
          <w:lang w:val="ru-RU"/>
        </w:rPr>
        <w:t xml:space="preserve">. </w:t>
      </w:r>
      <w:r w:rsidR="00CA1CB1" w:rsidRPr="00A343D5">
        <w:rPr>
          <w:b/>
          <w:color w:val="auto"/>
          <w:sz w:val="24"/>
          <w:szCs w:val="24"/>
          <w:lang w:val="ru-RU"/>
        </w:rPr>
        <w:t>Обоснование</w:t>
      </w:r>
    </w:p>
    <w:p w:rsidR="003424DF" w:rsidRDefault="003424DF" w:rsidP="003424DF">
      <w:r w:rsidRPr="003424DF">
        <w:t>Научное горное сообщество признает, что существует прямая связь между зеленым покров</w:t>
      </w:r>
      <w:r w:rsidR="00743E50">
        <w:t>ом</w:t>
      </w:r>
      <w:r w:rsidRPr="003424DF">
        <w:t xml:space="preserve"> горных районов и состоянием их жизнедеятельности и, как следствие, их способностью выполнять свои роли в экосистеме. Мониторинг изменений горной растительности с течением времени обеспечивает адекватную оценку статуса сохранения горных экосистем. Мониторинг горного Индекса растительного покрова со временем может предоставить информацию о лесных, древесных и растительных покровах в целом. Например, его сокращение будет в целом связано с </w:t>
      </w:r>
      <w:proofErr w:type="spellStart"/>
      <w:r w:rsidRPr="003424DF">
        <w:t>перевыпасом</w:t>
      </w:r>
      <w:proofErr w:type="spellEnd"/>
      <w:r w:rsidRPr="003424DF">
        <w:t xml:space="preserve">, очисткой земель, урбанизацией, лесопользованием, добычей древесины, сбором топливной древесины, пожарами. Его увеличение будет связано с ростом растительности, возможно, связанным с восстановлением земель, восстановлением лесов или программами </w:t>
      </w:r>
      <w:proofErr w:type="spellStart"/>
      <w:r w:rsidRPr="003424DF">
        <w:t>лесовозобновления</w:t>
      </w:r>
      <w:proofErr w:type="spellEnd"/>
      <w:r w:rsidRPr="003424DF">
        <w:t>.</w:t>
      </w:r>
    </w:p>
    <w:p w:rsidR="002E15F9" w:rsidRPr="00A343D5" w:rsidRDefault="002E15F9" w:rsidP="0004196A">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b</w:t>
      </w:r>
      <w:r w:rsidRPr="00A343D5">
        <w:rPr>
          <w:color w:val="auto"/>
          <w:sz w:val="24"/>
          <w:szCs w:val="24"/>
          <w:lang w:val="ru-RU"/>
        </w:rPr>
        <w:t xml:space="preserve">. </w:t>
      </w:r>
      <w:r w:rsidR="00CA1CB1" w:rsidRPr="00A343D5">
        <w:rPr>
          <w:b/>
          <w:color w:val="auto"/>
          <w:sz w:val="24"/>
          <w:szCs w:val="24"/>
          <w:lang w:val="ru-RU"/>
        </w:rPr>
        <w:t>Комментарии и ограничения</w:t>
      </w:r>
    </w:p>
    <w:p w:rsidR="00614A49" w:rsidRPr="00614A49" w:rsidRDefault="00614A49" w:rsidP="00614A49">
      <w:r w:rsidRPr="00614A49">
        <w:t>Индикатор может быть рассчитан с использованием свободно доступных данных наблюдения Земли и простых операций ГИС, которые можно обрабатывать в бесплатном программном обеспечении с открытым исходным кодом (FOSS) ГИС.</w:t>
      </w:r>
    </w:p>
    <w:p w:rsidR="00614A49" w:rsidRPr="00614A49" w:rsidRDefault="00614A49" w:rsidP="00614A49"/>
    <w:p w:rsidR="00614A49" w:rsidRPr="00614A49" w:rsidRDefault="00614A49" w:rsidP="00614A49">
      <w:r w:rsidRPr="00614A49">
        <w:lastRenderedPageBreak/>
        <w:t>Потенциальные ограничения описанной выше методологии связаны в основном с качеством данных о земном покрове. Карты земельного покрова ТПП ЕКА в настоящее время доступны с разрешением 300 метров, что ограничивает их применимость при мониторинге небольших и весьма неоднородных ландшафтов. Поэтому, если у стран есть национальные карты земного покрова с более высоким пространственным разрешением и сопоставимым или лучшим качеством, ФАО рекомендует использовать их, следуя той же методологии, представленной здесь, для получения значений MGCI.</w:t>
      </w:r>
    </w:p>
    <w:p w:rsidR="0035475F" w:rsidRDefault="0035475F" w:rsidP="0035475F">
      <w:proofErr w:type="gramStart"/>
      <w:r w:rsidRPr="0035475F">
        <w:t>Что касается интерпретации показателя, хотя в подавляющем большинстве случаев желаемым направлением является увеличение зеленого горного покрова, которое отражает ограничение ущерба природным экосистемам и, возможно, даже расширение лесов, кустарников и лугов за счет усилий по сохранению, в более ограниченных случаях увеличение значения показателя в классах высот</w:t>
      </w:r>
      <w:r>
        <w:t>,</w:t>
      </w:r>
      <w:r w:rsidRPr="0035475F">
        <w:t xml:space="preserve"> может также означать наступление растительности на районы, ранее покрытые ледниками или другими постоянными или полупостоянными</w:t>
      </w:r>
      <w:proofErr w:type="gramEnd"/>
      <w:r w:rsidRPr="0035475F">
        <w:t xml:space="preserve"> слоями льда или снега, в результате глобального потепления из-за изменения климата. Такое изменение можно отследить с помощью нынешней методологии и соответствующим образом отметить на уровне дезагрегированных данных по типу почвенного покрова и классу высоты, чтобы отличить этот случай от общей желаемой тенденции увеличения горного зеленого покрова.</w:t>
      </w:r>
    </w:p>
    <w:p w:rsidR="00D273C6" w:rsidRDefault="002E15F9" w:rsidP="00614A49">
      <w:pPr>
        <w:pStyle w:val="MHeader2"/>
        <w:spacing w:line="276" w:lineRule="auto"/>
        <w:rPr>
          <w:color w:val="auto"/>
          <w:sz w:val="24"/>
          <w:szCs w:val="24"/>
          <w:lang w:val="ru-RU"/>
        </w:rPr>
      </w:pPr>
      <w:r w:rsidRPr="008501F4">
        <w:rPr>
          <w:color w:val="auto"/>
          <w:sz w:val="24"/>
          <w:szCs w:val="24"/>
          <w:lang w:val="ru-RU"/>
        </w:rPr>
        <w:t>4.</w:t>
      </w:r>
      <w:r w:rsidRPr="004F3B53">
        <w:rPr>
          <w:color w:val="auto"/>
          <w:sz w:val="24"/>
          <w:szCs w:val="24"/>
        </w:rPr>
        <w:t>c</w:t>
      </w:r>
      <w:r w:rsidRPr="004F3B53">
        <w:rPr>
          <w:color w:val="auto"/>
          <w:sz w:val="24"/>
          <w:szCs w:val="24"/>
          <w:lang w:val="ru-RU"/>
        </w:rPr>
        <w:t xml:space="preserve">. </w:t>
      </w:r>
      <w:r w:rsidR="00CA1CB1" w:rsidRPr="004F3B53">
        <w:rPr>
          <w:b/>
          <w:color w:val="auto"/>
          <w:sz w:val="24"/>
          <w:szCs w:val="24"/>
          <w:lang w:val="ru-RU"/>
        </w:rPr>
        <w:t>Метод расчета</w:t>
      </w:r>
      <w:r w:rsidR="00CA1CB1" w:rsidRPr="008501F4">
        <w:rPr>
          <w:color w:val="auto"/>
          <w:sz w:val="24"/>
          <w:szCs w:val="24"/>
          <w:lang w:val="ru-RU"/>
        </w:rPr>
        <w:t xml:space="preserve"> </w:t>
      </w:r>
    </w:p>
    <w:p w:rsidR="00CC57A0" w:rsidRDefault="00CC57A0" w:rsidP="00CC57A0">
      <w:pPr>
        <w:shd w:val="clear" w:color="auto" w:fill="FFFFFF"/>
        <w:spacing w:after="0"/>
        <w:contextualSpacing/>
        <w:rPr>
          <w:rFonts w:eastAsia="Times New Roman" w:cs="Times New Roman"/>
          <w:szCs w:val="24"/>
          <w:lang w:eastAsia="en-GB"/>
        </w:rPr>
      </w:pPr>
      <w:r w:rsidRPr="00CC57A0">
        <w:rPr>
          <w:rFonts w:eastAsia="Times New Roman" w:cs="Times New Roman"/>
          <w:szCs w:val="24"/>
          <w:lang w:eastAsia="en-GB"/>
        </w:rPr>
        <w:t>Индекс зеленого покрова гор определяется как</w:t>
      </w:r>
    </w:p>
    <w:p w:rsidR="00CC57A0" w:rsidRPr="00CC57A0" w:rsidRDefault="00CC57A0" w:rsidP="00CC57A0">
      <w:pPr>
        <w:shd w:val="clear" w:color="auto" w:fill="FFFFFF"/>
        <w:spacing w:after="0"/>
        <w:contextualSpacing/>
        <w:rPr>
          <w:rFonts w:eastAsia="Times New Roman" w:cs="Times New Roman"/>
          <w:b/>
          <w:bCs/>
          <w:szCs w:val="24"/>
          <w:lang w:eastAsia="en-GB"/>
        </w:rPr>
      </w:pPr>
      <m:oMathPara>
        <m:oMath>
          <m:r>
            <w:rPr>
              <w:rFonts w:ascii="Cambria Math" w:eastAsia="Times New Roman" w:hAnsi="Cambria Math" w:cs="Times New Roman"/>
              <w:szCs w:val="24"/>
              <w:lang w:eastAsia="en-GB"/>
            </w:rPr>
            <m:t xml:space="preserve">MGCI= </m:t>
          </m:r>
          <m:f>
            <m:fPr>
              <m:ctrlPr>
                <w:rPr>
                  <w:rFonts w:ascii="Cambria Math" w:eastAsia="Times New Roman" w:hAnsi="Cambria Math" w:cs="Times New Roman"/>
                  <w:i/>
                  <w:szCs w:val="24"/>
                  <w:lang w:eastAsia="en-GB"/>
                </w:rPr>
              </m:ctrlPr>
            </m:fPr>
            <m:num>
              <m:r>
                <w:rPr>
                  <w:rFonts w:ascii="Cambria Math" w:eastAsia="Times New Roman" w:hAnsi="Cambria Math" w:cs="Times New Roman"/>
                  <w:szCs w:val="24"/>
                  <w:lang w:eastAsia="en-GB"/>
                </w:rPr>
                <m:t>Зеленый покров гор</m:t>
              </m:r>
            </m:num>
            <m:den>
              <m:r>
                <w:rPr>
                  <w:rFonts w:ascii="Cambria Math" w:eastAsia="Times New Roman" w:hAnsi="Cambria Math" w:cs="Times New Roman"/>
                  <w:szCs w:val="24"/>
                  <w:lang w:eastAsia="en-GB"/>
                </w:rPr>
                <m:t>Общая горная территория</m:t>
              </m:r>
            </m:den>
          </m:f>
          <m:r>
            <w:rPr>
              <w:rFonts w:ascii="Cambria Math" w:eastAsia="Times New Roman" w:hAnsi="Cambria Math" w:cs="Times New Roman"/>
              <w:szCs w:val="24"/>
              <w:lang w:eastAsia="en-GB"/>
            </w:rPr>
            <m:t>×100</m:t>
          </m:r>
        </m:oMath>
      </m:oMathPara>
    </w:p>
    <w:p w:rsidR="00CC57A0" w:rsidRPr="00CC57A0" w:rsidRDefault="00CC57A0" w:rsidP="00CC57A0">
      <w:pPr>
        <w:rPr>
          <w:rFonts w:eastAsia="Times New Roman" w:cs="Times New Roman"/>
          <w:b/>
          <w:szCs w:val="24"/>
          <w:lang w:eastAsia="en-GB"/>
        </w:rPr>
      </w:pPr>
    </w:p>
    <w:p w:rsidR="00CC57A0" w:rsidRPr="00CC57A0" w:rsidRDefault="00CC57A0" w:rsidP="00CC57A0">
      <w:pPr>
        <w:pStyle w:val="MText"/>
        <w:rPr>
          <w:color w:val="auto"/>
          <w:sz w:val="24"/>
          <w:szCs w:val="24"/>
          <w:lang w:val="ru-RU"/>
        </w:rPr>
      </w:pPr>
      <w:r w:rsidRPr="00CC57A0">
        <w:rPr>
          <w:color w:val="auto"/>
          <w:sz w:val="24"/>
          <w:szCs w:val="24"/>
          <w:lang w:val="ru-RU"/>
        </w:rPr>
        <w:t>Где площадь зеленого покрова гор = Сумма площадей, покрытых классами возделываемых земель, пастбищ, лесов и водно-болотных угодий.</w:t>
      </w:r>
    </w:p>
    <w:p w:rsidR="00CC57A0" w:rsidRPr="00CC57A0" w:rsidRDefault="00CC57A0" w:rsidP="00CC57A0">
      <w:pPr>
        <w:pStyle w:val="MText"/>
        <w:rPr>
          <w:color w:val="auto"/>
          <w:sz w:val="24"/>
          <w:szCs w:val="24"/>
          <w:lang w:val="ru-RU"/>
        </w:rPr>
      </w:pPr>
      <w:r w:rsidRPr="00CC57A0">
        <w:rPr>
          <w:color w:val="auto"/>
          <w:sz w:val="24"/>
          <w:szCs w:val="24"/>
          <w:lang w:val="ru-RU"/>
        </w:rPr>
        <w:t>Дескриптор растительности рассчитывается на основе карты земного покрова с использованием основных функций ГИС.</w:t>
      </w:r>
    </w:p>
    <w:p w:rsidR="00CC57A0" w:rsidRPr="00CC57A0" w:rsidRDefault="00CC57A0" w:rsidP="00CC57A0">
      <w:pPr>
        <w:pStyle w:val="MText"/>
        <w:rPr>
          <w:lang w:val="ru-RU"/>
        </w:rPr>
      </w:pPr>
      <w:r w:rsidRPr="00CC57A0">
        <w:rPr>
          <w:color w:val="auto"/>
          <w:sz w:val="24"/>
          <w:szCs w:val="24"/>
          <w:lang w:val="ru-RU"/>
        </w:rPr>
        <w:t xml:space="preserve">Если в стране / регионе нет горной местности, ему будет присвоено значение </w:t>
      </w:r>
      <w:r w:rsidRPr="00CC57A0">
        <w:rPr>
          <w:color w:val="auto"/>
          <w:sz w:val="24"/>
          <w:szCs w:val="24"/>
          <w:lang w:val="en-US"/>
        </w:rPr>
        <w:t>N</w:t>
      </w:r>
      <w:r w:rsidRPr="00CC57A0">
        <w:rPr>
          <w:color w:val="auto"/>
          <w:sz w:val="24"/>
          <w:szCs w:val="24"/>
          <w:lang w:val="ru-RU"/>
        </w:rPr>
        <w:t xml:space="preserve"> / </w:t>
      </w:r>
      <w:r w:rsidRPr="00CC57A0">
        <w:rPr>
          <w:color w:val="auto"/>
          <w:sz w:val="24"/>
          <w:szCs w:val="24"/>
          <w:lang w:val="en-US"/>
        </w:rPr>
        <w:t>A</w:t>
      </w:r>
      <w:r w:rsidRPr="00CC57A0">
        <w:rPr>
          <w:color w:val="auto"/>
          <w:sz w:val="24"/>
          <w:szCs w:val="24"/>
          <w:lang w:val="ru-RU"/>
        </w:rPr>
        <w:t>.</w:t>
      </w:r>
    </w:p>
    <w:p w:rsidR="002E15F9" w:rsidRPr="00FE175E" w:rsidRDefault="002E15F9" w:rsidP="00F947E9">
      <w:pPr>
        <w:pStyle w:val="MHeader2"/>
        <w:rPr>
          <w:b/>
          <w:color w:val="auto"/>
          <w:sz w:val="24"/>
          <w:lang w:val="ru-RU"/>
        </w:rPr>
      </w:pPr>
      <w:r w:rsidRPr="00FE175E">
        <w:rPr>
          <w:b/>
          <w:color w:val="auto"/>
          <w:sz w:val="24"/>
          <w:lang w:val="ru-RU"/>
        </w:rPr>
        <w:t>4.</w:t>
      </w:r>
      <w:r w:rsidRPr="00F947E9">
        <w:rPr>
          <w:b/>
          <w:color w:val="auto"/>
          <w:sz w:val="24"/>
        </w:rPr>
        <w:t>d</w:t>
      </w:r>
      <w:r w:rsidRPr="00FE175E">
        <w:rPr>
          <w:b/>
          <w:color w:val="auto"/>
          <w:sz w:val="24"/>
          <w:lang w:val="ru-RU"/>
        </w:rPr>
        <w:t xml:space="preserve">. </w:t>
      </w:r>
      <w:proofErr w:type="spellStart"/>
      <w:r w:rsidR="00694160" w:rsidRPr="00FE175E">
        <w:rPr>
          <w:b/>
          <w:color w:val="auto"/>
          <w:sz w:val="24"/>
          <w:lang w:val="ru-RU"/>
        </w:rPr>
        <w:t>Валидация</w:t>
      </w:r>
      <w:proofErr w:type="spellEnd"/>
    </w:p>
    <w:p w:rsidR="00CC57A0" w:rsidRDefault="00CC57A0" w:rsidP="00CC57A0">
      <w:r w:rsidRPr="00CC57A0">
        <w:t>Статистические данные по странам, полученные ФАО, перед публикацией направляются официальным координационным центрам НСУ по ЦУР для проверки. Значения показателей, предоставленные странами, считаются подтвержденными.</w:t>
      </w:r>
    </w:p>
    <w:p w:rsidR="002E15F9" w:rsidRDefault="002E15F9" w:rsidP="005B3332">
      <w:pPr>
        <w:pStyle w:val="MHeader2"/>
        <w:spacing w:line="276" w:lineRule="auto"/>
        <w:rPr>
          <w:b/>
          <w:color w:val="auto"/>
          <w:sz w:val="24"/>
          <w:szCs w:val="24"/>
          <w:lang w:val="ru-RU"/>
        </w:rPr>
      </w:pPr>
      <w:r w:rsidRPr="00A343D5">
        <w:rPr>
          <w:color w:val="auto"/>
          <w:sz w:val="24"/>
          <w:szCs w:val="24"/>
          <w:lang w:val="ru-RU"/>
        </w:rPr>
        <w:t>4.</w:t>
      </w:r>
      <w:r w:rsidRPr="00A343D5">
        <w:rPr>
          <w:color w:val="auto"/>
          <w:sz w:val="24"/>
          <w:szCs w:val="24"/>
        </w:rPr>
        <w:t>e</w:t>
      </w:r>
      <w:r w:rsidRPr="00A343D5">
        <w:rPr>
          <w:color w:val="auto"/>
          <w:sz w:val="24"/>
          <w:szCs w:val="24"/>
          <w:lang w:val="ru-RU"/>
        </w:rPr>
        <w:t xml:space="preserve">. </w:t>
      </w:r>
      <w:r w:rsidR="00694160" w:rsidRPr="00A343D5">
        <w:rPr>
          <w:b/>
          <w:color w:val="auto"/>
          <w:sz w:val="24"/>
          <w:szCs w:val="24"/>
          <w:lang w:val="ru-RU"/>
        </w:rPr>
        <w:t>Корректировки</w:t>
      </w:r>
    </w:p>
    <w:p w:rsidR="00FE175E" w:rsidRDefault="00FF1BAD" w:rsidP="00FE175E">
      <w:r>
        <w:t>Не применимо.</w:t>
      </w:r>
    </w:p>
    <w:p w:rsidR="002E15F9" w:rsidRPr="00A343D5" w:rsidRDefault="002E15F9" w:rsidP="00A343D5">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f</w:t>
      </w:r>
      <w:r w:rsidRPr="00A343D5">
        <w:rPr>
          <w:color w:val="auto"/>
          <w:sz w:val="24"/>
          <w:szCs w:val="24"/>
          <w:lang w:val="ru-RU"/>
        </w:rPr>
        <w:t xml:space="preserve">. </w:t>
      </w:r>
      <w:r w:rsidR="00694160" w:rsidRPr="00A343D5">
        <w:rPr>
          <w:b/>
          <w:color w:val="auto"/>
          <w:sz w:val="24"/>
          <w:szCs w:val="24"/>
          <w:lang w:val="ru-RU"/>
        </w:rPr>
        <w:t>Обработка отсутствующих значений (</w:t>
      </w:r>
      <w:proofErr w:type="spellStart"/>
      <w:r w:rsidR="00694160" w:rsidRPr="00A343D5">
        <w:rPr>
          <w:b/>
          <w:color w:val="auto"/>
          <w:sz w:val="24"/>
          <w:szCs w:val="24"/>
        </w:rPr>
        <w:t>i</w:t>
      </w:r>
      <w:proofErr w:type="spellEnd"/>
      <w:r w:rsidR="00694160" w:rsidRPr="00A343D5">
        <w:rPr>
          <w:b/>
          <w:color w:val="auto"/>
          <w:sz w:val="24"/>
          <w:szCs w:val="24"/>
          <w:lang w:val="ru-RU"/>
        </w:rPr>
        <w:t>) на уровне страны и (</w:t>
      </w:r>
      <w:r w:rsidR="00694160" w:rsidRPr="00A343D5">
        <w:rPr>
          <w:b/>
          <w:color w:val="auto"/>
          <w:sz w:val="24"/>
          <w:szCs w:val="24"/>
        </w:rPr>
        <w:t>ii</w:t>
      </w:r>
      <w:r w:rsidR="00694160" w:rsidRPr="00A343D5">
        <w:rPr>
          <w:b/>
          <w:color w:val="auto"/>
          <w:sz w:val="24"/>
          <w:szCs w:val="24"/>
          <w:lang w:val="ru-RU"/>
        </w:rPr>
        <w:t>) на региональном уровне</w:t>
      </w:r>
    </w:p>
    <w:p w:rsidR="00FF1BAD" w:rsidRPr="0033081A" w:rsidRDefault="00FF1BAD" w:rsidP="0033081A">
      <w:pPr>
        <w:rPr>
          <w:i/>
        </w:rPr>
      </w:pPr>
      <w:r w:rsidRPr="0033081A">
        <w:rPr>
          <w:i/>
        </w:rPr>
        <w:t>На уровне страны</w:t>
      </w:r>
    </w:p>
    <w:p w:rsidR="0033081A" w:rsidRDefault="0033081A" w:rsidP="0033081A">
      <w:r w:rsidRPr="0033081A">
        <w:t xml:space="preserve">Не применимо, так как индикатор имеет универсальный охват. </w:t>
      </w:r>
    </w:p>
    <w:p w:rsidR="00FF1BAD" w:rsidRPr="0033081A" w:rsidRDefault="00FF1BAD" w:rsidP="0033081A">
      <w:pPr>
        <w:rPr>
          <w:i/>
        </w:rPr>
      </w:pPr>
      <w:r w:rsidRPr="0033081A">
        <w:rPr>
          <w:i/>
        </w:rPr>
        <w:t>На региональном и глобальном уровнях</w:t>
      </w:r>
    </w:p>
    <w:p w:rsidR="0033081A" w:rsidRDefault="0033081A" w:rsidP="0033081A">
      <w:r w:rsidRPr="0033081A">
        <w:t xml:space="preserve">Не применимо, так как индикатор имеет универсальный охват. </w:t>
      </w:r>
    </w:p>
    <w:p w:rsidR="002E15F9" w:rsidRDefault="002E15F9" w:rsidP="00083DC3">
      <w:pPr>
        <w:pStyle w:val="MHeader2"/>
        <w:spacing w:line="276" w:lineRule="auto"/>
        <w:rPr>
          <w:color w:val="auto"/>
          <w:sz w:val="24"/>
          <w:szCs w:val="24"/>
          <w:lang w:val="ru-RU"/>
        </w:rPr>
      </w:pPr>
      <w:r w:rsidRPr="00A343D5">
        <w:rPr>
          <w:color w:val="auto"/>
          <w:sz w:val="24"/>
          <w:szCs w:val="24"/>
          <w:lang w:val="ru-RU"/>
        </w:rPr>
        <w:lastRenderedPageBreak/>
        <w:t>4.</w:t>
      </w:r>
      <w:r w:rsidRPr="00A343D5">
        <w:rPr>
          <w:color w:val="auto"/>
          <w:sz w:val="24"/>
          <w:szCs w:val="24"/>
        </w:rPr>
        <w:t>g</w:t>
      </w:r>
      <w:r w:rsidRPr="00A343D5">
        <w:rPr>
          <w:color w:val="auto"/>
          <w:sz w:val="24"/>
          <w:szCs w:val="24"/>
          <w:lang w:val="ru-RU"/>
        </w:rPr>
        <w:t xml:space="preserve">. </w:t>
      </w:r>
      <w:r w:rsidR="00E27922" w:rsidRPr="00A343D5">
        <w:rPr>
          <w:b/>
          <w:color w:val="auto"/>
          <w:sz w:val="24"/>
          <w:szCs w:val="24"/>
          <w:lang w:val="ru-RU"/>
        </w:rPr>
        <w:t>Региональное агрегирование</w:t>
      </w:r>
      <w:r w:rsidR="00E27922" w:rsidRPr="00A343D5">
        <w:rPr>
          <w:color w:val="auto"/>
          <w:sz w:val="24"/>
          <w:szCs w:val="24"/>
          <w:lang w:val="ru-RU"/>
        </w:rPr>
        <w:t xml:space="preserve"> </w:t>
      </w:r>
    </w:p>
    <w:p w:rsidR="00EF24FF" w:rsidRDefault="00EF24FF" w:rsidP="0092659A">
      <w:r w:rsidRPr="00EF24FF">
        <w:t>Использование пространственно-явных данных позволяет напрямую рассчитать значение индикатора для любой очерченной области. Однако при пространственном разрешении 300 метров слоя CCI расчет значений индикатора для самых маленьких областей, состоящих всего из нескольких пикселей, может привести к резким изменениям значений индикатора из-за относительно более высокого влияния ошибок классификации.</w:t>
      </w:r>
    </w:p>
    <w:p w:rsidR="00F56853" w:rsidRPr="00436030" w:rsidRDefault="002E15F9" w:rsidP="0092659A">
      <w:r w:rsidRPr="00A343D5">
        <w:rPr>
          <w:szCs w:val="24"/>
        </w:rPr>
        <w:t xml:space="preserve">4.h. </w:t>
      </w:r>
      <w:r w:rsidR="00E27922" w:rsidRPr="00A343D5">
        <w:rPr>
          <w:b/>
          <w:szCs w:val="24"/>
        </w:rPr>
        <w:t>Доступные странам методы для сбора данных на национальном уровне</w:t>
      </w:r>
    </w:p>
    <w:p w:rsidR="00EF24FF" w:rsidRPr="00EF24FF" w:rsidRDefault="00EF24FF" w:rsidP="00EF24FF">
      <w:pPr>
        <w:rPr>
          <w:rFonts w:cs="Times New Roman"/>
          <w:szCs w:val="24"/>
        </w:rPr>
      </w:pPr>
      <w:r w:rsidRPr="00EF24FF">
        <w:rPr>
          <w:rFonts w:cs="Times New Roman"/>
          <w:szCs w:val="24"/>
        </w:rPr>
        <w:t>Значение индикатора можн</w:t>
      </w:r>
      <w:r>
        <w:rPr>
          <w:rFonts w:cs="Times New Roman"/>
          <w:szCs w:val="24"/>
        </w:rPr>
        <w:t>о рассчитать следующим образом:</w:t>
      </w:r>
    </w:p>
    <w:p w:rsidR="00EF24FF" w:rsidRPr="00EF24FF" w:rsidRDefault="00EF24FF" w:rsidP="00EF24FF">
      <w:pPr>
        <w:rPr>
          <w:rFonts w:cs="Times New Roman"/>
          <w:szCs w:val="24"/>
        </w:rPr>
      </w:pPr>
      <w:r w:rsidRPr="00EF24FF">
        <w:rPr>
          <w:rFonts w:cs="Times New Roman"/>
          <w:szCs w:val="24"/>
        </w:rPr>
        <w:t xml:space="preserve">I. Классы земельного покрова ТПП ЕКА </w:t>
      </w:r>
      <w:proofErr w:type="spellStart"/>
      <w:r w:rsidRPr="00EF24FF">
        <w:rPr>
          <w:rFonts w:cs="Times New Roman"/>
          <w:szCs w:val="24"/>
        </w:rPr>
        <w:t>реклассифицируются</w:t>
      </w:r>
      <w:proofErr w:type="spellEnd"/>
      <w:r w:rsidRPr="00EF24FF">
        <w:rPr>
          <w:rFonts w:cs="Times New Roman"/>
          <w:szCs w:val="24"/>
        </w:rPr>
        <w:t xml:space="preserve"> в шесть классов МГЭИК и карту зеленого / </w:t>
      </w:r>
      <w:proofErr w:type="spellStart"/>
      <w:r w:rsidRPr="00EF24FF">
        <w:rPr>
          <w:rFonts w:cs="Times New Roman"/>
          <w:szCs w:val="24"/>
        </w:rPr>
        <w:t>незеленого</w:t>
      </w:r>
      <w:proofErr w:type="spellEnd"/>
      <w:r w:rsidRPr="00EF24FF">
        <w:rPr>
          <w:rFonts w:cs="Times New Roman"/>
          <w:szCs w:val="24"/>
        </w:rPr>
        <w:t xml:space="preserve"> покрова.</w:t>
      </w:r>
    </w:p>
    <w:p w:rsidR="00EF24FF" w:rsidRPr="00EF24FF" w:rsidRDefault="00EF24FF" w:rsidP="00EF24FF">
      <w:pPr>
        <w:rPr>
          <w:rFonts w:cs="Times New Roman"/>
          <w:szCs w:val="24"/>
        </w:rPr>
      </w:pPr>
      <w:r w:rsidRPr="00EF24FF">
        <w:rPr>
          <w:rFonts w:cs="Times New Roman"/>
          <w:szCs w:val="24"/>
        </w:rPr>
        <w:t xml:space="preserve">II. Карта диапазонов высот </w:t>
      </w:r>
      <w:proofErr w:type="spellStart"/>
      <w:r w:rsidRPr="00EF24FF">
        <w:rPr>
          <w:rFonts w:cs="Times New Roman"/>
          <w:szCs w:val="24"/>
        </w:rPr>
        <w:t>Капоша</w:t>
      </w:r>
      <w:proofErr w:type="spellEnd"/>
      <w:r w:rsidRPr="00EF24FF">
        <w:rPr>
          <w:rFonts w:cs="Times New Roman"/>
          <w:szCs w:val="24"/>
        </w:rPr>
        <w:t xml:space="preserve"> накладывается поверх карты, полученной на шаге 1.</w:t>
      </w:r>
    </w:p>
    <w:p w:rsidR="00EF24FF" w:rsidRPr="00EF24FF" w:rsidRDefault="00EF24FF" w:rsidP="00EF24FF">
      <w:pPr>
        <w:rPr>
          <w:rFonts w:cs="Times New Roman"/>
          <w:szCs w:val="24"/>
        </w:rPr>
      </w:pPr>
      <w:r w:rsidRPr="00EF24FF">
        <w:rPr>
          <w:rFonts w:cs="Times New Roman"/>
          <w:szCs w:val="24"/>
        </w:rPr>
        <w:t xml:space="preserve">III. Зональная гистограмма рассчитывается для каждой страны и региональной группы таким образом, что количество пикселей, принадлежащих к зеленому и </w:t>
      </w:r>
      <w:proofErr w:type="spellStart"/>
      <w:r w:rsidRPr="00EF24FF">
        <w:rPr>
          <w:rFonts w:cs="Times New Roman"/>
          <w:szCs w:val="24"/>
        </w:rPr>
        <w:t>незеленому</w:t>
      </w:r>
      <w:proofErr w:type="spellEnd"/>
      <w:r w:rsidRPr="00EF24FF">
        <w:rPr>
          <w:rFonts w:cs="Times New Roman"/>
          <w:szCs w:val="24"/>
        </w:rPr>
        <w:t xml:space="preserve"> классам, подсчитывается в пределах каждого диапазона высот.</w:t>
      </w:r>
    </w:p>
    <w:p w:rsidR="00EF24FF" w:rsidRPr="00EF24FF" w:rsidRDefault="00EF24FF" w:rsidP="00EF24FF">
      <w:pPr>
        <w:rPr>
          <w:rFonts w:cs="Times New Roman"/>
          <w:szCs w:val="24"/>
        </w:rPr>
      </w:pPr>
      <w:r w:rsidRPr="00EF24FF">
        <w:rPr>
          <w:rFonts w:cs="Times New Roman"/>
          <w:szCs w:val="24"/>
        </w:rPr>
        <w:t>IV. Отношение</w:t>
      </w:r>
      <w:proofErr w:type="gramStart"/>
      <w:r w:rsidRPr="00EF24FF">
        <w:rPr>
          <w:rFonts w:cs="Times New Roman"/>
          <w:szCs w:val="24"/>
        </w:rPr>
        <w:t xml:space="preserve"> (%) </w:t>
      </w:r>
      <w:proofErr w:type="gramEnd"/>
      <w:r w:rsidRPr="00EF24FF">
        <w:rPr>
          <w:rFonts w:cs="Times New Roman"/>
          <w:szCs w:val="24"/>
        </w:rPr>
        <w:t>между суммой зеленых пикселей и общим количеством пикселей (зеленого плюс не зеленого), попадающих в каждый Капо, вычисляется для получения значений MGCI для каждого класса Капо.</w:t>
      </w:r>
    </w:p>
    <w:p w:rsidR="00EF24FF" w:rsidRDefault="00EF24FF" w:rsidP="00EF24FF">
      <w:pPr>
        <w:rPr>
          <w:rFonts w:cs="Times New Roman"/>
          <w:szCs w:val="24"/>
        </w:rPr>
      </w:pPr>
      <w:r w:rsidRPr="00EF24FF">
        <w:rPr>
          <w:rFonts w:cs="Times New Roman"/>
          <w:szCs w:val="24"/>
        </w:rPr>
        <w:t>V. Та же процедура используется для расчета распределения классов земного покрова, определенных МГЭИК, в пределах каждого диапазона высот.</w:t>
      </w:r>
    </w:p>
    <w:p w:rsidR="00151C00" w:rsidRPr="00DA623E" w:rsidRDefault="002E15F9" w:rsidP="00EF24FF">
      <w:pPr>
        <w:pStyle w:val="MHeader"/>
        <w:rPr>
          <w:b/>
          <w:color w:val="auto"/>
          <w:sz w:val="24"/>
          <w:lang w:val="ru-RU"/>
        </w:rPr>
      </w:pPr>
      <w:r w:rsidRPr="00DA623E">
        <w:rPr>
          <w:b/>
          <w:color w:val="auto"/>
          <w:sz w:val="24"/>
          <w:lang w:val="ru-RU"/>
        </w:rPr>
        <w:t>4.</w:t>
      </w:r>
      <w:proofErr w:type="spellStart"/>
      <w:r w:rsidRPr="00EF24FF">
        <w:rPr>
          <w:b/>
          <w:color w:val="auto"/>
          <w:sz w:val="24"/>
        </w:rPr>
        <w:t>i</w:t>
      </w:r>
      <w:proofErr w:type="spellEnd"/>
      <w:r w:rsidRPr="00DA623E">
        <w:rPr>
          <w:b/>
          <w:color w:val="auto"/>
          <w:sz w:val="24"/>
          <w:lang w:val="ru-RU"/>
        </w:rPr>
        <w:t xml:space="preserve">. </w:t>
      </w:r>
      <w:r w:rsidR="00E27922" w:rsidRPr="00DA623E">
        <w:rPr>
          <w:b/>
          <w:color w:val="auto"/>
          <w:sz w:val="24"/>
          <w:lang w:val="ru-RU"/>
        </w:rPr>
        <w:t>Управление качеством</w:t>
      </w:r>
      <w:r w:rsidR="000C224E" w:rsidRPr="00DA623E">
        <w:rPr>
          <w:b/>
          <w:color w:val="auto"/>
          <w:sz w:val="24"/>
          <w:lang w:val="ru-RU"/>
        </w:rPr>
        <w:t xml:space="preserve"> </w:t>
      </w:r>
    </w:p>
    <w:p w:rsidR="00BD4C64" w:rsidRPr="00BD4C64" w:rsidRDefault="00BD4C64" w:rsidP="00BD4C64">
      <w:r w:rsidRPr="00BD4C64">
        <w:t xml:space="preserve">ФАО отвечает за качество внутренних статистических процессов, используемых для компиляции публикуемых наборов данных. Система обеспечения качества статистики ФАО (SQAF), доступная по адресу: http://www.fao.org/docrep/019/i3664e/i3664e.pdf, содержит необходимые принципы, руководящие указания и инструменты для проведения оценки качества. </w:t>
      </w:r>
      <w:proofErr w:type="gramStart"/>
      <w:r w:rsidRPr="00BD4C64">
        <w:t xml:space="preserve">ФАО проводит два раза в год внутреннее обследование (обследование ФАО по оценке качества и планированию), предназначенное для сбора информации обо всей статистической деятельности ФАО, в частности, для оценки степени соблюдения стандартов качества с целью более строгого </w:t>
      </w:r>
      <w:r w:rsidR="0083636B">
        <w:t>соблюдения параметров качества</w:t>
      </w:r>
      <w:r w:rsidR="0083636B" w:rsidRPr="0083636B">
        <w:t xml:space="preserve"> </w:t>
      </w:r>
      <w:r w:rsidRPr="00BD4C64">
        <w:t>SQAF, документируя передовой опыт и готовя планы улучшения качества, где это необходимо.</w:t>
      </w:r>
      <w:proofErr w:type="gramEnd"/>
      <w:r w:rsidRPr="00BD4C64">
        <w:t xml:space="preserve"> Мероприятия по обеспечению качества в конкретных областях выполняются систематически (например, обзоры качества, самооценка, мониторинг соблюдения).</w:t>
      </w:r>
    </w:p>
    <w:p w:rsidR="00151C00" w:rsidRDefault="002E15F9" w:rsidP="00B8481C">
      <w:pPr>
        <w:pStyle w:val="MHeader2"/>
        <w:spacing w:line="276" w:lineRule="auto"/>
        <w:rPr>
          <w:b/>
          <w:color w:val="auto"/>
          <w:sz w:val="24"/>
          <w:szCs w:val="24"/>
          <w:lang w:val="ru-RU"/>
        </w:rPr>
      </w:pPr>
      <w:r w:rsidRPr="00A343D5">
        <w:rPr>
          <w:color w:val="auto"/>
          <w:sz w:val="24"/>
          <w:szCs w:val="24"/>
          <w:lang w:val="ru-RU"/>
        </w:rPr>
        <w:t>4.</w:t>
      </w:r>
      <w:r w:rsidRPr="00A343D5">
        <w:rPr>
          <w:color w:val="auto"/>
          <w:sz w:val="24"/>
          <w:szCs w:val="24"/>
        </w:rPr>
        <w:t>j</w:t>
      </w:r>
      <w:r w:rsidR="00E27922" w:rsidRPr="00A343D5">
        <w:rPr>
          <w:color w:val="auto"/>
          <w:sz w:val="24"/>
          <w:szCs w:val="24"/>
          <w:lang w:val="ru-RU"/>
        </w:rPr>
        <w:t>.</w:t>
      </w:r>
      <w:r w:rsidRPr="00A343D5">
        <w:rPr>
          <w:color w:val="auto"/>
          <w:sz w:val="24"/>
          <w:szCs w:val="24"/>
          <w:lang w:val="ru-RU"/>
        </w:rPr>
        <w:t xml:space="preserve"> </w:t>
      </w:r>
      <w:r w:rsidR="00E27922" w:rsidRPr="00A343D5">
        <w:rPr>
          <w:b/>
          <w:color w:val="auto"/>
          <w:sz w:val="24"/>
          <w:szCs w:val="24"/>
          <w:lang w:val="ru-RU"/>
        </w:rPr>
        <w:t>Обеспечение качества</w:t>
      </w:r>
    </w:p>
    <w:p w:rsidR="002E15F9" w:rsidRDefault="0075371E" w:rsidP="00222E13">
      <w:pPr>
        <w:pStyle w:val="MHeader"/>
        <w:rPr>
          <w:b/>
          <w:color w:val="auto"/>
          <w:sz w:val="24"/>
          <w:lang w:val="ru-RU"/>
        </w:rPr>
      </w:pPr>
      <w:r w:rsidRPr="002D493B">
        <w:rPr>
          <w:b/>
          <w:color w:val="auto"/>
          <w:sz w:val="24"/>
          <w:lang w:val="ru-RU"/>
        </w:rPr>
        <w:t>4.</w:t>
      </w:r>
      <w:r w:rsidRPr="00333E4E">
        <w:rPr>
          <w:b/>
          <w:color w:val="auto"/>
          <w:sz w:val="24"/>
        </w:rPr>
        <w:t>k</w:t>
      </w:r>
      <w:r w:rsidRPr="002D493B">
        <w:rPr>
          <w:b/>
          <w:color w:val="auto"/>
          <w:sz w:val="24"/>
          <w:lang w:val="ru-RU"/>
        </w:rPr>
        <w:t xml:space="preserve">. Оценка качества </w:t>
      </w:r>
    </w:p>
    <w:p w:rsidR="002E15F9" w:rsidRPr="00A343D5" w:rsidRDefault="002E15F9" w:rsidP="00CD238E">
      <w:pPr>
        <w:pStyle w:val="MHeader"/>
        <w:spacing w:after="100"/>
        <w:rPr>
          <w:b/>
          <w:color w:val="auto"/>
          <w:sz w:val="24"/>
          <w:szCs w:val="24"/>
          <w:lang w:val="ru-RU"/>
        </w:rPr>
      </w:pPr>
      <w:r w:rsidRPr="00EA60C7">
        <w:rPr>
          <w:b/>
          <w:color w:val="auto"/>
          <w:sz w:val="24"/>
          <w:szCs w:val="24"/>
          <w:lang w:val="ru-RU"/>
        </w:rPr>
        <w:t xml:space="preserve">5. </w:t>
      </w:r>
      <w:r w:rsidR="0075371E" w:rsidRPr="00EA60C7">
        <w:rPr>
          <w:b/>
          <w:color w:val="auto"/>
          <w:sz w:val="24"/>
          <w:szCs w:val="24"/>
          <w:lang w:val="ru-RU"/>
        </w:rPr>
        <w:t xml:space="preserve">Доступность и </w:t>
      </w:r>
      <w:proofErr w:type="spellStart"/>
      <w:r w:rsidR="0075371E" w:rsidRPr="00EA60C7">
        <w:rPr>
          <w:b/>
          <w:color w:val="auto"/>
          <w:sz w:val="24"/>
          <w:szCs w:val="24"/>
          <w:lang w:val="ru-RU"/>
        </w:rPr>
        <w:t>дезагрегирование</w:t>
      </w:r>
      <w:proofErr w:type="spellEnd"/>
      <w:r w:rsidR="0075371E" w:rsidRPr="00EA60C7">
        <w:rPr>
          <w:b/>
          <w:color w:val="auto"/>
          <w:sz w:val="24"/>
          <w:szCs w:val="24"/>
          <w:lang w:val="ru-RU"/>
        </w:rPr>
        <w:t xml:space="preserve"> данных</w:t>
      </w:r>
    </w:p>
    <w:p w:rsidR="0083636B" w:rsidRDefault="0083636B" w:rsidP="0083636B">
      <w:r>
        <w:t>Доступность данных:</w:t>
      </w:r>
    </w:p>
    <w:p w:rsidR="0083636B" w:rsidRDefault="0083636B" w:rsidP="0083636B">
      <w:r>
        <w:t xml:space="preserve">Индикатор генерируется на основе </w:t>
      </w:r>
      <w:proofErr w:type="spellStart"/>
      <w:r>
        <w:t>геопространственных</w:t>
      </w:r>
      <w:proofErr w:type="spellEnd"/>
      <w:r>
        <w:t xml:space="preserve"> данных и поэтому имеет универсальный охват. Страны, не имеющие значений в глобальной базе данных ЦУР, - это либо A) страны без гор, к которым индикатор не применим, либо B) страны, которые не подтвердили оценки ФАО и еще не представили свои собственные цифры.</w:t>
      </w:r>
    </w:p>
    <w:p w:rsidR="0083636B" w:rsidRDefault="0083636B" w:rsidP="0083636B"/>
    <w:p w:rsidR="0083636B" w:rsidRPr="0083636B" w:rsidRDefault="0083636B" w:rsidP="0083636B">
      <w:r>
        <w:lastRenderedPageBreak/>
        <w:t>1) Данные о земном покрове ТПП ЕКА находятся в свободном доступе по адресу: https://www.esa-landcover-cci.org/?q=node/164</w:t>
      </w:r>
    </w:p>
    <w:p w:rsidR="0083636B" w:rsidRDefault="0083636B" w:rsidP="0083636B">
      <w:r>
        <w:t xml:space="preserve">2) Данные </w:t>
      </w:r>
      <w:proofErr w:type="spellStart"/>
      <w:r>
        <w:t>Kapos</w:t>
      </w:r>
      <w:proofErr w:type="spellEnd"/>
      <w:r>
        <w:t xml:space="preserve"> находятся в свободном доступе по ссылкам ниже:</w:t>
      </w:r>
    </w:p>
    <w:p w:rsidR="0083636B" w:rsidRPr="0083636B" w:rsidRDefault="0083636B" w:rsidP="0083636B">
      <w:r>
        <w:t xml:space="preserve">• Классификацию USGS </w:t>
      </w:r>
      <w:proofErr w:type="spellStart"/>
      <w:r>
        <w:t>Mountain</w:t>
      </w:r>
      <w:proofErr w:type="spellEnd"/>
      <w:r>
        <w:t xml:space="preserve"> </w:t>
      </w:r>
      <w:proofErr w:type="spellStart"/>
      <w:r>
        <w:t>Explorer</w:t>
      </w:r>
      <w:proofErr w:type="spellEnd"/>
      <w:r>
        <w:t xml:space="preserve"> </w:t>
      </w:r>
      <w:proofErr w:type="spellStart"/>
      <w:r>
        <w:t>Kapos</w:t>
      </w:r>
      <w:proofErr w:type="spellEnd"/>
      <w:r>
        <w:t xml:space="preserve"> можно найти как GME_K1classes.zip в: https://rmgsc.cr.usgs.gov/outgoing/ecosystems/Global/.</w:t>
      </w:r>
    </w:p>
    <w:p w:rsidR="0083636B" w:rsidRDefault="0083636B" w:rsidP="0083636B">
      <w:r>
        <w:t xml:space="preserve">3) Административные границы доступны из различных глобальных </w:t>
      </w:r>
      <w:proofErr w:type="gramStart"/>
      <w:r>
        <w:t>баз</w:t>
      </w:r>
      <w:proofErr w:type="gramEnd"/>
      <w:r>
        <w:t xml:space="preserve"> данных по ссылкам ниже:</w:t>
      </w:r>
    </w:p>
    <w:p w:rsidR="0083636B" w:rsidRDefault="0083636B" w:rsidP="0083636B">
      <w:r>
        <w:t>• Уровень глобальных административных единиц ФАО (GAUL) https://data.europa.eu/euodp/data/dataset/jrc-10112-10004</w:t>
      </w:r>
    </w:p>
    <w:p w:rsidR="0083636B" w:rsidRPr="0083636B" w:rsidRDefault="0083636B" w:rsidP="0083636B">
      <w:pPr>
        <w:rPr>
          <w:lang w:val="en-US"/>
        </w:rPr>
      </w:pPr>
      <w:r w:rsidRPr="0083636B">
        <w:rPr>
          <w:lang w:val="en-US"/>
        </w:rPr>
        <w:t>• Divas-GIS https://www.diva-gis.org/gdata</w:t>
      </w:r>
    </w:p>
    <w:p w:rsidR="0083636B" w:rsidRPr="0083636B" w:rsidRDefault="0083636B" w:rsidP="0083636B">
      <w:r>
        <w:t xml:space="preserve">• Границы второго административного уровня ООН (SALB) </w:t>
      </w:r>
      <w:hyperlink r:id="rId9" w:history="1">
        <w:r w:rsidRPr="003C21EF">
          <w:rPr>
            <w:rStyle w:val="ad"/>
          </w:rPr>
          <w:t>https://www.unsalb.org/</w:t>
        </w:r>
      </w:hyperlink>
    </w:p>
    <w:p w:rsidR="00BA61D3" w:rsidRDefault="00BA61D3" w:rsidP="0083636B">
      <w:r>
        <w:t>Временные ряды:</w:t>
      </w:r>
    </w:p>
    <w:p w:rsidR="0083636B" w:rsidRPr="00DA623E" w:rsidRDefault="0083636B" w:rsidP="00BA61D3">
      <w:r w:rsidRPr="0083636B">
        <w:t>Данные по странам, регионам и миру доступны за 2000, 2010, 2015 и 2018 годы.</w:t>
      </w:r>
    </w:p>
    <w:p w:rsidR="00BA61D3" w:rsidRPr="00BA61D3" w:rsidRDefault="00BA61D3" w:rsidP="00BA61D3">
      <w:proofErr w:type="spellStart"/>
      <w:r>
        <w:t>Дезагрегация</w:t>
      </w:r>
      <w:proofErr w:type="spellEnd"/>
      <w:r w:rsidRPr="00BA61D3">
        <w:t>:</w:t>
      </w:r>
    </w:p>
    <w:p w:rsidR="0083636B" w:rsidRPr="00DA623E" w:rsidRDefault="0083636B" w:rsidP="0083636B">
      <w:r w:rsidRPr="0083636B">
        <w:t xml:space="preserve">В глобальной базе данных ЦУР показатель дезагрегирован по классу высоты горы (дескриптор горы). Дополнительный параметр </w:t>
      </w:r>
      <w:proofErr w:type="spellStart"/>
      <w:r w:rsidRPr="0083636B">
        <w:t>дезагрегирования</w:t>
      </w:r>
      <w:proofErr w:type="spellEnd"/>
      <w:r w:rsidRPr="0083636B">
        <w:t>, класс земельного покрова МГЭИК, доступен на портале показателей ЦУР ФАО. Комбинация шести классов высот и шести основных типов земного покрова в соответствии с классификацией МГЭИК дает 36 различных дезагрегированных данных для каждой страны за отчетный год.</w:t>
      </w:r>
    </w:p>
    <w:p w:rsidR="002E15F9" w:rsidRDefault="00845FE2" w:rsidP="00AF3B1B">
      <w:pPr>
        <w:pStyle w:val="MHeader"/>
        <w:spacing w:after="100"/>
        <w:rPr>
          <w:b/>
          <w:color w:val="auto"/>
          <w:sz w:val="24"/>
          <w:szCs w:val="24"/>
          <w:lang w:val="ru-RU"/>
        </w:rPr>
      </w:pPr>
      <w:r>
        <w:rPr>
          <w:b/>
          <w:color w:val="auto"/>
          <w:sz w:val="24"/>
          <w:szCs w:val="24"/>
          <w:lang w:val="ru-RU"/>
        </w:rPr>
        <w:t xml:space="preserve">6. </w:t>
      </w:r>
      <w:r w:rsidR="0075371E" w:rsidRPr="00A343D5">
        <w:rPr>
          <w:b/>
          <w:color w:val="auto"/>
          <w:sz w:val="24"/>
          <w:szCs w:val="24"/>
          <w:lang w:val="ru-RU"/>
        </w:rPr>
        <w:t>Сопоставимость / отклонение от международных стандартов</w:t>
      </w:r>
    </w:p>
    <w:p w:rsidR="00BA61D3" w:rsidRDefault="00BA61D3" w:rsidP="007D2576">
      <w:r>
        <w:t>Источники расхождений:</w:t>
      </w:r>
    </w:p>
    <w:p w:rsidR="0083636B" w:rsidRPr="0083636B" w:rsidRDefault="0083636B" w:rsidP="00BD1D25">
      <w:r>
        <w:t xml:space="preserve">Представленная здесь методология по умолчанию основана на использовании глобального продукта </w:t>
      </w:r>
      <w:r w:rsidRPr="0083636B">
        <w:t xml:space="preserve">ЕКА ТПП </w:t>
      </w:r>
      <w:proofErr w:type="spellStart"/>
      <w:r>
        <w:t>Land</w:t>
      </w:r>
      <w:proofErr w:type="spellEnd"/>
      <w:r>
        <w:t xml:space="preserve"> </w:t>
      </w:r>
      <w:proofErr w:type="spellStart"/>
      <w:r>
        <w:t>Cover</w:t>
      </w:r>
      <w:proofErr w:type="spellEnd"/>
      <w:r>
        <w:t>, общая точность которого, как сообщается, составляет 73,2%. Однако оценка точности была рассчитана с использованием исходных 22 классов земного покрова. Поскольку представленная здесь методология основана на использовании агрегированных классов, можно ожидать, что точность будет выше.</w:t>
      </w:r>
    </w:p>
    <w:p w:rsidR="0083636B" w:rsidRPr="00DA623E" w:rsidRDefault="0083636B" w:rsidP="00BD1D25">
      <w:r>
        <w:t>Точность продуктов глобального земного покрова может варьироваться в зависимости от региона. По той же причине представленные значения индикаторов могут отличаться от значений, полученных с использованием национальных карт земного покрова.</w:t>
      </w:r>
    </w:p>
    <w:p w:rsidR="00333E4E" w:rsidRPr="0083636B" w:rsidRDefault="00845FE2" w:rsidP="0083636B">
      <w:pPr>
        <w:pBdr>
          <w:bottom w:val="single" w:sz="12" w:space="4" w:color="DDDDDD"/>
        </w:pBdr>
        <w:shd w:val="clear" w:color="auto" w:fill="FFFFFF"/>
        <w:spacing w:after="100"/>
        <w:outlineLvl w:val="2"/>
        <w:rPr>
          <w:lang w:val="en-US" w:eastAsia="en-GB"/>
        </w:rPr>
      </w:pPr>
      <w:r w:rsidRPr="0083636B">
        <w:rPr>
          <w:rFonts w:eastAsia="Times New Roman" w:cs="Times New Roman"/>
          <w:b/>
          <w:szCs w:val="24"/>
          <w:lang w:val="en-US" w:eastAsia="en-GB"/>
        </w:rPr>
        <w:t>7</w:t>
      </w:r>
      <w:r w:rsidR="00040034" w:rsidRPr="0083636B">
        <w:rPr>
          <w:rFonts w:eastAsia="Times New Roman" w:cs="Times New Roman"/>
          <w:b/>
          <w:szCs w:val="24"/>
          <w:lang w:val="en-US" w:eastAsia="en-GB"/>
        </w:rPr>
        <w:t xml:space="preserve">. </w:t>
      </w:r>
      <w:r w:rsidR="00040034" w:rsidRPr="00A343D5">
        <w:rPr>
          <w:rFonts w:eastAsia="Times New Roman" w:cs="Times New Roman"/>
          <w:b/>
          <w:szCs w:val="24"/>
          <w:lang w:eastAsia="en-GB"/>
        </w:rPr>
        <w:t>Ссылки</w:t>
      </w:r>
      <w:r w:rsidR="00040034" w:rsidRPr="0083636B">
        <w:rPr>
          <w:rFonts w:eastAsia="Times New Roman" w:cs="Times New Roman"/>
          <w:b/>
          <w:szCs w:val="24"/>
          <w:lang w:val="en-US" w:eastAsia="en-GB"/>
        </w:rPr>
        <w:t xml:space="preserve"> </w:t>
      </w:r>
      <w:r w:rsidR="00040034" w:rsidRPr="00A343D5">
        <w:rPr>
          <w:rFonts w:eastAsia="Times New Roman" w:cs="Times New Roman"/>
          <w:b/>
          <w:szCs w:val="24"/>
          <w:lang w:eastAsia="en-GB"/>
        </w:rPr>
        <w:t>и</w:t>
      </w:r>
      <w:r w:rsidR="00040034" w:rsidRPr="0083636B">
        <w:rPr>
          <w:rFonts w:eastAsia="Times New Roman" w:cs="Times New Roman"/>
          <w:b/>
          <w:szCs w:val="24"/>
          <w:lang w:val="en-US" w:eastAsia="en-GB"/>
        </w:rPr>
        <w:t xml:space="preserve"> </w:t>
      </w:r>
      <w:r w:rsidR="00040034" w:rsidRPr="00A343D5">
        <w:rPr>
          <w:rFonts w:eastAsia="Times New Roman" w:cs="Times New Roman"/>
          <w:b/>
          <w:szCs w:val="24"/>
          <w:lang w:eastAsia="en-GB"/>
        </w:rPr>
        <w:t>документы</w:t>
      </w:r>
    </w:p>
    <w:sdt>
      <w:sdtPr>
        <w:rPr>
          <w:rFonts w:ascii="Times New Roman" w:eastAsiaTheme="minorHAnsi" w:hAnsi="Times New Roman"/>
          <w:sz w:val="24"/>
          <w:lang w:val="ru-RU" w:eastAsia="en-US"/>
        </w:rPr>
        <w:id w:val="-573587230"/>
        <w:bibliography/>
      </w:sdtPr>
      <w:sdtEndPr>
        <w:rPr>
          <w:color w:val="4A4A4A"/>
        </w:rPr>
      </w:sdtEndPr>
      <w:sdtContent>
        <w:p w:rsidR="0083636B" w:rsidRPr="0083636B" w:rsidRDefault="0083636B" w:rsidP="0083636B">
          <w:pPr>
            <w:pStyle w:val="afc"/>
            <w:ind w:left="720" w:hanging="720"/>
            <w:rPr>
              <w:rFonts w:ascii="Times New Roman" w:hAnsi="Times New Roman" w:cs="Times New Roman"/>
              <w:noProof/>
              <w:sz w:val="24"/>
              <w:szCs w:val="24"/>
              <w:highlight w:val="yellow"/>
            </w:rPr>
          </w:pPr>
          <w:proofErr w:type="gramStart"/>
          <w:r w:rsidRPr="0083636B">
            <w:rPr>
              <w:rFonts w:ascii="Times New Roman" w:hAnsi="Times New Roman" w:cs="Times New Roman"/>
              <w:sz w:val="24"/>
              <w:szCs w:val="24"/>
              <w:shd w:val="clear" w:color="auto" w:fill="FFFFFF"/>
            </w:rPr>
            <w:t>ESA (2017) Land Cover CCI Product User Guide Version 2.</w:t>
          </w:r>
          <w:proofErr w:type="gramEnd"/>
          <w:r w:rsidRPr="0083636B">
            <w:rPr>
              <w:rFonts w:ascii="Times New Roman" w:hAnsi="Times New Roman" w:cs="Times New Roman"/>
              <w:sz w:val="24"/>
              <w:szCs w:val="24"/>
              <w:shd w:val="clear" w:color="auto" w:fill="FFFFFF"/>
            </w:rPr>
            <w:t xml:space="preserve"> Tech. Rep. Available at:</w:t>
          </w:r>
          <w:r w:rsidRPr="0083636B">
            <w:rPr>
              <w:rFonts w:ascii="Times New Roman" w:hAnsi="Times New Roman" w:cs="Times New Roman"/>
              <w:b/>
              <w:bCs/>
              <w:sz w:val="24"/>
              <w:szCs w:val="24"/>
              <w:shd w:val="clear" w:color="auto" w:fill="FFFFFF"/>
            </w:rPr>
            <w:t> </w:t>
          </w:r>
          <w:hyperlink r:id="rId10" w:history="1">
            <w:r w:rsidRPr="0083636B">
              <w:rPr>
                <w:rFonts w:ascii="Times New Roman" w:hAnsi="Times New Roman" w:cs="Times New Roman"/>
                <w:sz w:val="24"/>
                <w:szCs w:val="24"/>
                <w:u w:val="single"/>
                <w:shd w:val="clear" w:color="auto" w:fill="FFFFFF"/>
              </w:rPr>
              <w:t>maps.elie.ucl.ac.be/CCI/viewer/download/ESACCI-LC-Ph2-PUGv2_2.0.pdf</w:t>
            </w:r>
          </w:hyperlink>
          <w:r w:rsidRPr="0083636B">
            <w:rPr>
              <w:rFonts w:ascii="Times New Roman" w:hAnsi="Times New Roman" w:cs="Times New Roman"/>
              <w:sz w:val="24"/>
              <w:szCs w:val="24"/>
            </w:rPr>
            <w:fldChar w:fldCharType="begin"/>
          </w:r>
          <w:r w:rsidRPr="0083636B">
            <w:rPr>
              <w:rFonts w:ascii="Times New Roman" w:hAnsi="Times New Roman" w:cs="Times New Roman"/>
              <w:sz w:val="24"/>
              <w:szCs w:val="24"/>
            </w:rPr>
            <w:instrText xml:space="preserve"> BIBLIOGRAPHY </w:instrText>
          </w:r>
          <w:r w:rsidRPr="0083636B">
            <w:rPr>
              <w:rFonts w:ascii="Times New Roman" w:hAnsi="Times New Roman" w:cs="Times New Roman"/>
              <w:sz w:val="24"/>
              <w:szCs w:val="24"/>
            </w:rPr>
            <w:fldChar w:fldCharType="separate"/>
          </w:r>
        </w:p>
        <w:p w:rsidR="0083636B" w:rsidRPr="0083636B" w:rsidRDefault="0083636B" w:rsidP="0083636B">
          <w:pPr>
            <w:pStyle w:val="afc"/>
            <w:ind w:left="720" w:hanging="720"/>
            <w:rPr>
              <w:rFonts w:ascii="Times New Roman" w:hAnsi="Times New Roman" w:cs="Times New Roman"/>
              <w:noProof/>
              <w:sz w:val="24"/>
              <w:szCs w:val="24"/>
            </w:rPr>
          </w:pPr>
          <w:r w:rsidRPr="0083636B">
            <w:rPr>
              <w:rFonts w:ascii="Times New Roman" w:hAnsi="Times New Roman" w:cs="Times New Roman"/>
              <w:noProof/>
              <w:sz w:val="24"/>
              <w:szCs w:val="24"/>
            </w:rPr>
            <w:t xml:space="preserve">Kapos, V., Rhind, J., Edwards, M., Prince, M., &amp; Ravillous, C. (2000). Developing a map of the world’s mountain forests. In M. F. Price , &amp; N. Butt (Eds.), </w:t>
          </w:r>
          <w:r w:rsidRPr="0083636B">
            <w:rPr>
              <w:rFonts w:ascii="Times New Roman" w:hAnsi="Times New Roman" w:cs="Times New Roman"/>
              <w:i/>
              <w:iCs/>
              <w:noProof/>
              <w:sz w:val="24"/>
              <w:szCs w:val="24"/>
            </w:rPr>
            <w:t>Forests in Sustainable Mountain Development: A State-of-Knowledge Report for 2000</w:t>
          </w:r>
          <w:r w:rsidRPr="0083636B">
            <w:rPr>
              <w:rFonts w:ascii="Times New Roman" w:hAnsi="Times New Roman" w:cs="Times New Roman"/>
              <w:noProof/>
              <w:sz w:val="24"/>
              <w:szCs w:val="24"/>
            </w:rPr>
            <w:t xml:space="preserve"> (pp. 4-9). Wallingford: CAB International.</w:t>
          </w:r>
        </w:p>
        <w:p w:rsidR="0083636B" w:rsidRPr="0083636B" w:rsidRDefault="0083636B" w:rsidP="0083636B">
          <w:pPr>
            <w:pStyle w:val="afc"/>
            <w:ind w:left="720" w:hanging="720"/>
            <w:rPr>
              <w:rFonts w:ascii="Times New Roman" w:hAnsi="Times New Roman" w:cs="Times New Roman"/>
              <w:noProof/>
              <w:sz w:val="24"/>
              <w:szCs w:val="24"/>
            </w:rPr>
          </w:pPr>
          <w:r w:rsidRPr="0083636B">
            <w:rPr>
              <w:rFonts w:ascii="Times New Roman" w:hAnsi="Times New Roman" w:cs="Times New Roman"/>
              <w:noProof/>
              <w:sz w:val="24"/>
              <w:szCs w:val="24"/>
            </w:rPr>
            <w:lastRenderedPageBreak/>
            <w:t xml:space="preserve">Karagulle, D., Frye, C., Breyer, S., Aniello, P., Vaughan, R., &amp; Wright, D. (2017). Modeling global Hammond landform regions from 250-m elevation data. </w:t>
          </w:r>
          <w:r w:rsidRPr="0083636B">
            <w:rPr>
              <w:rFonts w:ascii="Times New Roman" w:hAnsi="Times New Roman" w:cs="Times New Roman"/>
              <w:i/>
              <w:iCs/>
              <w:noProof/>
              <w:sz w:val="24"/>
              <w:szCs w:val="24"/>
            </w:rPr>
            <w:t>Transactions in GIS</w:t>
          </w:r>
          <w:r w:rsidRPr="0083636B">
            <w:rPr>
              <w:rFonts w:ascii="Times New Roman" w:hAnsi="Times New Roman" w:cs="Times New Roman"/>
              <w:noProof/>
              <w:sz w:val="24"/>
              <w:szCs w:val="24"/>
            </w:rPr>
            <w:t>. doi:10.1111/tgis.12265</w:t>
          </w:r>
        </w:p>
        <w:p w:rsidR="0083636B" w:rsidRPr="0083636B" w:rsidRDefault="0083636B" w:rsidP="0083636B">
          <w:pPr>
            <w:pStyle w:val="afc"/>
            <w:ind w:left="720" w:hanging="720"/>
            <w:rPr>
              <w:rFonts w:ascii="Times New Roman" w:hAnsi="Times New Roman" w:cs="Times New Roman"/>
              <w:noProof/>
              <w:sz w:val="24"/>
              <w:szCs w:val="24"/>
            </w:rPr>
          </w:pPr>
          <w:r w:rsidRPr="0083636B">
            <w:rPr>
              <w:rFonts w:ascii="Times New Roman" w:hAnsi="Times New Roman" w:cs="Times New Roman"/>
              <w:noProof/>
              <w:sz w:val="24"/>
              <w:szCs w:val="24"/>
            </w:rPr>
            <w:t xml:space="preserve">Körner, C., Paulsen, J., &amp; Spehn, E. (2011). A definition of mountains and their bioclimatic belts for global comparisons of biodiversity data. </w:t>
          </w:r>
          <w:r w:rsidRPr="0083636B">
            <w:rPr>
              <w:rFonts w:ascii="Times New Roman" w:hAnsi="Times New Roman" w:cs="Times New Roman"/>
              <w:i/>
              <w:iCs/>
              <w:noProof/>
              <w:sz w:val="24"/>
              <w:szCs w:val="24"/>
            </w:rPr>
            <w:t>Alpine Botany, 121</w:t>
          </w:r>
          <w:r w:rsidRPr="0083636B">
            <w:rPr>
              <w:rFonts w:ascii="Times New Roman" w:hAnsi="Times New Roman" w:cs="Times New Roman"/>
              <w:noProof/>
              <w:sz w:val="24"/>
              <w:szCs w:val="24"/>
            </w:rPr>
            <w:t>, 73-78.</w:t>
          </w:r>
        </w:p>
        <w:p w:rsidR="0083636B" w:rsidRPr="0083636B" w:rsidRDefault="0083636B" w:rsidP="0083636B">
          <w:pPr>
            <w:pStyle w:val="afc"/>
            <w:ind w:left="720" w:hanging="720"/>
            <w:rPr>
              <w:rFonts w:ascii="Times New Roman" w:hAnsi="Times New Roman" w:cs="Times New Roman"/>
              <w:noProof/>
              <w:sz w:val="24"/>
              <w:szCs w:val="24"/>
            </w:rPr>
          </w:pPr>
          <w:r w:rsidRPr="0083636B">
            <w:rPr>
              <w:rFonts w:ascii="Times New Roman" w:hAnsi="Times New Roman" w:cs="Times New Roman"/>
              <w:noProof/>
              <w:sz w:val="24"/>
              <w:szCs w:val="24"/>
            </w:rPr>
            <w:t xml:space="preserve">Santoro, M., Kirches, G., Wevers, J., Boettcher, M., Brockmann, C., Lamarche, C., . . . Defourny, P. (2015). </w:t>
          </w:r>
          <w:r w:rsidRPr="0083636B">
            <w:rPr>
              <w:rFonts w:ascii="Times New Roman" w:hAnsi="Times New Roman" w:cs="Times New Roman"/>
              <w:i/>
              <w:iCs/>
              <w:noProof/>
              <w:sz w:val="24"/>
              <w:szCs w:val="24"/>
            </w:rPr>
            <w:t>Land Cover CCI PRODUCT USER GUIDE VERSION 2.0.</w:t>
          </w:r>
          <w:r w:rsidRPr="0083636B">
            <w:rPr>
              <w:rFonts w:ascii="Times New Roman" w:hAnsi="Times New Roman" w:cs="Times New Roman"/>
              <w:noProof/>
              <w:sz w:val="24"/>
              <w:szCs w:val="24"/>
            </w:rPr>
            <w:t xml:space="preserve"> European Spatial Agency. European Spatial Agency. Retrieved from http://maps.elie.ucl.ac.be/CCI/viewer/download/ESACCI-LC-Ph2-PUGv2_2.0.pdf</w:t>
          </w:r>
        </w:p>
        <w:p w:rsidR="0083636B" w:rsidRPr="0083636B" w:rsidRDefault="0083636B" w:rsidP="0083636B">
          <w:pPr>
            <w:ind w:left="720" w:hanging="720"/>
            <w:rPr>
              <w:rFonts w:cs="Times New Roman"/>
              <w:szCs w:val="24"/>
            </w:rPr>
          </w:pPr>
          <w:r w:rsidRPr="0083636B">
            <w:rPr>
              <w:rStyle w:val="normaltextrun"/>
              <w:rFonts w:cs="Times New Roman"/>
              <w:szCs w:val="24"/>
              <w:shd w:val="clear" w:color="auto" w:fill="FFFFFF"/>
              <w:lang w:val="en-US"/>
            </w:rPr>
            <w:t>Sayre, R., Frye, C. Karagulle, D., Krauer, J, Breyer, S., Aniello, P., Wright, D.J., Payne, D., Adler, C. Warner, H., VanSistine, D.P. &amp; Cress, J. (2018). A New High-Resolution Map of World Mountains and an Online Tool for Visualizing and Comparing Characterizations of Global Mountain Distributions. </w:t>
          </w:r>
          <w:r w:rsidRPr="0083636B">
            <w:rPr>
              <w:rStyle w:val="normaltextrun"/>
              <w:rFonts w:cs="Times New Roman"/>
              <w:i/>
              <w:iCs/>
              <w:szCs w:val="24"/>
              <w:shd w:val="clear" w:color="auto" w:fill="FFFFFF"/>
            </w:rPr>
            <w:t>Mountain Research and Development</w:t>
          </w:r>
          <w:r w:rsidRPr="0083636B">
            <w:rPr>
              <w:rStyle w:val="normaltextrun"/>
              <w:rFonts w:cs="Times New Roman"/>
              <w:szCs w:val="24"/>
              <w:shd w:val="clear" w:color="auto" w:fill="FFFFFF"/>
            </w:rPr>
            <w:t>, 38(3), 240-249.</w:t>
          </w:r>
          <w:r w:rsidRPr="0083636B">
            <w:rPr>
              <w:rStyle w:val="eop"/>
              <w:rFonts w:cs="Times New Roman"/>
              <w:szCs w:val="24"/>
              <w:shd w:val="clear" w:color="auto" w:fill="FFFFFF"/>
            </w:rPr>
            <w:t> </w:t>
          </w:r>
        </w:p>
        <w:p w:rsidR="0083636B" w:rsidRPr="0083636B" w:rsidRDefault="0083636B" w:rsidP="0083636B">
          <w:pPr>
            <w:rPr>
              <w:rFonts w:cs="Times New Roman"/>
              <w:szCs w:val="24"/>
            </w:rPr>
          </w:pPr>
        </w:p>
        <w:p w:rsidR="0083636B" w:rsidRDefault="0083636B" w:rsidP="0083636B">
          <w:pPr>
            <w:spacing w:after="200"/>
            <w:jc w:val="left"/>
            <w:rPr>
              <w:color w:val="4A4A4A"/>
            </w:rPr>
          </w:pPr>
          <w:r w:rsidRPr="0083636B">
            <w:rPr>
              <w:rFonts w:cs="Times New Roman"/>
              <w:b/>
              <w:bCs/>
              <w:noProof/>
              <w:szCs w:val="24"/>
            </w:rPr>
            <w:fldChar w:fldCharType="end"/>
          </w:r>
        </w:p>
      </w:sdtContent>
    </w:sdt>
    <w:p w:rsidR="0049008B" w:rsidRPr="00222E13" w:rsidRDefault="0049008B" w:rsidP="00BA61D3">
      <w:pPr>
        <w:rPr>
          <w:lang w:eastAsia="en-GB"/>
        </w:rPr>
      </w:pPr>
    </w:p>
    <w:sectPr w:rsidR="0049008B" w:rsidRPr="00222E13">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412" w:rsidRDefault="00EA2412" w:rsidP="00F73DBC">
      <w:pPr>
        <w:spacing w:after="0" w:line="240" w:lineRule="auto"/>
      </w:pPr>
      <w:r>
        <w:separator/>
      </w:r>
    </w:p>
  </w:endnote>
  <w:endnote w:type="continuationSeparator" w:id="0">
    <w:p w:rsidR="00EA2412" w:rsidRDefault="00EA2412"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412" w:rsidRDefault="00EA2412" w:rsidP="00F73DBC">
      <w:pPr>
        <w:spacing w:after="0" w:line="240" w:lineRule="auto"/>
      </w:pPr>
      <w:r>
        <w:separator/>
      </w:r>
    </w:p>
  </w:footnote>
  <w:footnote w:type="continuationSeparator" w:id="0">
    <w:p w:rsidR="00EA2412" w:rsidRDefault="00EA2412" w:rsidP="00F73DBC">
      <w:pPr>
        <w:spacing w:after="0" w:line="240" w:lineRule="auto"/>
      </w:pPr>
      <w:r>
        <w:continuationSeparator/>
      </w:r>
    </w:p>
  </w:footnote>
  <w:footnote w:id="1">
    <w:p w:rsidR="00AE510C" w:rsidRPr="00B931ED" w:rsidRDefault="00AE510C" w:rsidP="00AE510C">
      <w:pPr>
        <w:pStyle w:val="a5"/>
      </w:pPr>
      <w:r w:rsidRPr="00686FB9">
        <w:rPr>
          <w:rStyle w:val="a7"/>
        </w:rPr>
        <w:footnoteRef/>
      </w:r>
      <w:r w:rsidRPr="00B931ED">
        <w:t xml:space="preserve"> </w:t>
      </w:r>
      <w:r w:rsidR="00B931ED" w:rsidRPr="00B931ED">
        <w:t xml:space="preserve">Обратите внимание, что </w:t>
      </w:r>
      <w:r w:rsidR="00B931ED">
        <w:t>в данном контексте</w:t>
      </w:r>
      <w:r w:rsidR="00B931ED" w:rsidRPr="00B931ED">
        <w:t xml:space="preserve"> термин «лес» относится к земному покрову, не обязательно к землепользованию.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53B" w:rsidRDefault="0031253B" w:rsidP="009508D1">
    <w:pPr>
      <w:pStyle w:val="af"/>
      <w:jc w:val="right"/>
      <w:rPr>
        <w:i/>
      </w:rPr>
    </w:pPr>
    <w:r w:rsidRPr="009508D1">
      <w:rPr>
        <w:i/>
      </w:rPr>
      <w:t>Неофициальный перевод</w:t>
    </w:r>
    <w:r>
      <w:rPr>
        <w:i/>
      </w:rPr>
      <w:t xml:space="preserve"> </w:t>
    </w:r>
  </w:p>
  <w:p w:rsidR="0031253B" w:rsidRPr="009508D1" w:rsidRDefault="0031253B" w:rsidP="009508D1">
    <w:pPr>
      <w:pStyle w:val="af"/>
      <w:jc w:val="right"/>
    </w:pPr>
    <w:r>
      <w:t>Последнее обновление: август 2021</w:t>
    </w:r>
  </w:p>
  <w:p w:rsidR="0031253B" w:rsidRDefault="0031253B">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1F9E"/>
    <w:multiLevelType w:val="hybridMultilevel"/>
    <w:tmpl w:val="5C1E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D8352C"/>
    <w:multiLevelType w:val="hybridMultilevel"/>
    <w:tmpl w:val="4A82E506"/>
    <w:lvl w:ilvl="0" w:tplc="679E9D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9A0C42"/>
    <w:multiLevelType w:val="hybridMultilevel"/>
    <w:tmpl w:val="22C43998"/>
    <w:lvl w:ilvl="0" w:tplc="679E9D4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E5AF6"/>
    <w:multiLevelType w:val="hybridMultilevel"/>
    <w:tmpl w:val="C0A29C96"/>
    <w:lvl w:ilvl="0" w:tplc="679E9D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64321A"/>
    <w:multiLevelType w:val="hybridMultilevel"/>
    <w:tmpl w:val="AEA8E3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7E74D4"/>
    <w:multiLevelType w:val="hybridMultilevel"/>
    <w:tmpl w:val="C7C8D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0B4E66"/>
    <w:multiLevelType w:val="hybridMultilevel"/>
    <w:tmpl w:val="71DA5AD4"/>
    <w:lvl w:ilvl="0" w:tplc="AC92FE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2C5443"/>
    <w:multiLevelType w:val="hybridMultilevel"/>
    <w:tmpl w:val="6C903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1B4257"/>
    <w:multiLevelType w:val="hybridMultilevel"/>
    <w:tmpl w:val="8048DE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A519C7"/>
    <w:multiLevelType w:val="hybridMultilevel"/>
    <w:tmpl w:val="CEB23D48"/>
    <w:lvl w:ilvl="0" w:tplc="04190001">
      <w:start w:val="1"/>
      <w:numFmt w:val="bullet"/>
      <w:lvlText w:val=""/>
      <w:lvlJc w:val="left"/>
      <w:pPr>
        <w:ind w:left="720" w:hanging="360"/>
      </w:pPr>
      <w:rPr>
        <w:rFonts w:ascii="Symbol" w:hAnsi="Symbol" w:hint="default"/>
      </w:rPr>
    </w:lvl>
    <w:lvl w:ilvl="1" w:tplc="6276CB2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D826A57"/>
    <w:multiLevelType w:val="hybridMultilevel"/>
    <w:tmpl w:val="B6FEE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265087"/>
    <w:multiLevelType w:val="hybridMultilevel"/>
    <w:tmpl w:val="ADB45A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F14BB9"/>
    <w:multiLevelType w:val="hybridMultilevel"/>
    <w:tmpl w:val="9192297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2E4E5E"/>
    <w:multiLevelType w:val="hybridMultilevel"/>
    <w:tmpl w:val="6D049FA0"/>
    <w:lvl w:ilvl="0" w:tplc="63FC18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1E24A1"/>
    <w:multiLevelType w:val="hybridMultilevel"/>
    <w:tmpl w:val="D77A14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556F36"/>
    <w:multiLevelType w:val="hybridMultilevel"/>
    <w:tmpl w:val="96CED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FD4A38"/>
    <w:multiLevelType w:val="hybridMultilevel"/>
    <w:tmpl w:val="C2107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BB1618"/>
    <w:multiLevelType w:val="hybridMultilevel"/>
    <w:tmpl w:val="7D7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C14544"/>
    <w:multiLevelType w:val="hybridMultilevel"/>
    <w:tmpl w:val="16F89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3A302C"/>
    <w:multiLevelType w:val="hybridMultilevel"/>
    <w:tmpl w:val="E5162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C2D1E54"/>
    <w:multiLevelType w:val="hybridMultilevel"/>
    <w:tmpl w:val="1AD6DE36"/>
    <w:lvl w:ilvl="0" w:tplc="8062ADD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0"/>
  </w:num>
  <w:num w:numId="4">
    <w:abstractNumId w:val="20"/>
  </w:num>
  <w:num w:numId="5">
    <w:abstractNumId w:val="17"/>
  </w:num>
  <w:num w:numId="6">
    <w:abstractNumId w:val="11"/>
  </w:num>
  <w:num w:numId="7">
    <w:abstractNumId w:val="15"/>
  </w:num>
  <w:num w:numId="8">
    <w:abstractNumId w:val="13"/>
  </w:num>
  <w:num w:numId="9">
    <w:abstractNumId w:val="4"/>
  </w:num>
  <w:num w:numId="10">
    <w:abstractNumId w:val="14"/>
  </w:num>
  <w:num w:numId="11">
    <w:abstractNumId w:val="16"/>
  </w:num>
  <w:num w:numId="12">
    <w:abstractNumId w:val="7"/>
  </w:num>
  <w:num w:numId="13">
    <w:abstractNumId w:val="19"/>
  </w:num>
  <w:num w:numId="14">
    <w:abstractNumId w:val="0"/>
  </w:num>
  <w:num w:numId="15">
    <w:abstractNumId w:val="18"/>
  </w:num>
  <w:num w:numId="16">
    <w:abstractNumId w:val="21"/>
  </w:num>
  <w:num w:numId="17">
    <w:abstractNumId w:val="5"/>
  </w:num>
  <w:num w:numId="18">
    <w:abstractNumId w:val="8"/>
  </w:num>
  <w:num w:numId="19">
    <w:abstractNumId w:val="2"/>
  </w:num>
  <w:num w:numId="20">
    <w:abstractNumId w:val="1"/>
  </w:num>
  <w:num w:numId="21">
    <w:abstractNumId w:val="3"/>
  </w:num>
  <w:num w:numId="2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6140"/>
    <w:rsid w:val="00017B67"/>
    <w:rsid w:val="00030BF5"/>
    <w:rsid w:val="00032707"/>
    <w:rsid w:val="00040034"/>
    <w:rsid w:val="0004196A"/>
    <w:rsid w:val="000451B2"/>
    <w:rsid w:val="00053D20"/>
    <w:rsid w:val="00062184"/>
    <w:rsid w:val="00066024"/>
    <w:rsid w:val="00067E3E"/>
    <w:rsid w:val="00080FD3"/>
    <w:rsid w:val="00083DC3"/>
    <w:rsid w:val="0008593B"/>
    <w:rsid w:val="00093790"/>
    <w:rsid w:val="000A210D"/>
    <w:rsid w:val="000A229E"/>
    <w:rsid w:val="000A47E6"/>
    <w:rsid w:val="000A6836"/>
    <w:rsid w:val="000B0E12"/>
    <w:rsid w:val="000C224E"/>
    <w:rsid w:val="000E666A"/>
    <w:rsid w:val="000E7DC3"/>
    <w:rsid w:val="00104284"/>
    <w:rsid w:val="00110FE3"/>
    <w:rsid w:val="00115063"/>
    <w:rsid w:val="0011581A"/>
    <w:rsid w:val="00116248"/>
    <w:rsid w:val="00120E95"/>
    <w:rsid w:val="00122608"/>
    <w:rsid w:val="001269B1"/>
    <w:rsid w:val="00133E22"/>
    <w:rsid w:val="001373EA"/>
    <w:rsid w:val="00146B30"/>
    <w:rsid w:val="00146FDC"/>
    <w:rsid w:val="001470A2"/>
    <w:rsid w:val="00147D02"/>
    <w:rsid w:val="001505DD"/>
    <w:rsid w:val="00151C00"/>
    <w:rsid w:val="0015685B"/>
    <w:rsid w:val="001577EB"/>
    <w:rsid w:val="00162B33"/>
    <w:rsid w:val="00165896"/>
    <w:rsid w:val="001661D2"/>
    <w:rsid w:val="0016743D"/>
    <w:rsid w:val="0017579E"/>
    <w:rsid w:val="00176A95"/>
    <w:rsid w:val="0018458D"/>
    <w:rsid w:val="001A0336"/>
    <w:rsid w:val="001A163A"/>
    <w:rsid w:val="001B0DDA"/>
    <w:rsid w:val="001B4464"/>
    <w:rsid w:val="001C2F13"/>
    <w:rsid w:val="001D47B7"/>
    <w:rsid w:val="001E2FC9"/>
    <w:rsid w:val="001F2B04"/>
    <w:rsid w:val="0020339C"/>
    <w:rsid w:val="002165E6"/>
    <w:rsid w:val="00220DFC"/>
    <w:rsid w:val="00222E13"/>
    <w:rsid w:val="00235C73"/>
    <w:rsid w:val="00237F5C"/>
    <w:rsid w:val="002451DF"/>
    <w:rsid w:val="00253365"/>
    <w:rsid w:val="002540B1"/>
    <w:rsid w:val="00263E57"/>
    <w:rsid w:val="002712B1"/>
    <w:rsid w:val="00290B8E"/>
    <w:rsid w:val="002A3B50"/>
    <w:rsid w:val="002A7CD7"/>
    <w:rsid w:val="002B2508"/>
    <w:rsid w:val="002D493B"/>
    <w:rsid w:val="002D669D"/>
    <w:rsid w:val="002E07D4"/>
    <w:rsid w:val="002E122C"/>
    <w:rsid w:val="002E15F9"/>
    <w:rsid w:val="002E2DAB"/>
    <w:rsid w:val="002F63E5"/>
    <w:rsid w:val="00303D71"/>
    <w:rsid w:val="0031253B"/>
    <w:rsid w:val="003143BC"/>
    <w:rsid w:val="0033081A"/>
    <w:rsid w:val="00333E4E"/>
    <w:rsid w:val="003424DF"/>
    <w:rsid w:val="00342801"/>
    <w:rsid w:val="00347912"/>
    <w:rsid w:val="00351952"/>
    <w:rsid w:val="0035475F"/>
    <w:rsid w:val="003563A7"/>
    <w:rsid w:val="003569AD"/>
    <w:rsid w:val="0036001C"/>
    <w:rsid w:val="00372DA0"/>
    <w:rsid w:val="003746BC"/>
    <w:rsid w:val="00376FE6"/>
    <w:rsid w:val="00390633"/>
    <w:rsid w:val="00393B97"/>
    <w:rsid w:val="00394222"/>
    <w:rsid w:val="00397764"/>
    <w:rsid w:val="003A389C"/>
    <w:rsid w:val="003B2CF2"/>
    <w:rsid w:val="003B340F"/>
    <w:rsid w:val="003E03CC"/>
    <w:rsid w:val="003E6C49"/>
    <w:rsid w:val="0040583C"/>
    <w:rsid w:val="004066A3"/>
    <w:rsid w:val="00407E4E"/>
    <w:rsid w:val="004143B4"/>
    <w:rsid w:val="00422DE3"/>
    <w:rsid w:val="0042734C"/>
    <w:rsid w:val="00436030"/>
    <w:rsid w:val="00446A24"/>
    <w:rsid w:val="00453CF8"/>
    <w:rsid w:val="00461079"/>
    <w:rsid w:val="00465587"/>
    <w:rsid w:val="00480D4F"/>
    <w:rsid w:val="0049008B"/>
    <w:rsid w:val="00494AAC"/>
    <w:rsid w:val="004A20F3"/>
    <w:rsid w:val="004A7876"/>
    <w:rsid w:val="004B638C"/>
    <w:rsid w:val="004B6FA0"/>
    <w:rsid w:val="004D283B"/>
    <w:rsid w:val="004D737D"/>
    <w:rsid w:val="004E087E"/>
    <w:rsid w:val="004F3B53"/>
    <w:rsid w:val="00503093"/>
    <w:rsid w:val="00504CD2"/>
    <w:rsid w:val="005057DC"/>
    <w:rsid w:val="005126D2"/>
    <w:rsid w:val="00514C74"/>
    <w:rsid w:val="005220B0"/>
    <w:rsid w:val="00543050"/>
    <w:rsid w:val="00547F84"/>
    <w:rsid w:val="00562B74"/>
    <w:rsid w:val="0056571B"/>
    <w:rsid w:val="00577C9B"/>
    <w:rsid w:val="0059042F"/>
    <w:rsid w:val="005919D0"/>
    <w:rsid w:val="00594963"/>
    <w:rsid w:val="005974D1"/>
    <w:rsid w:val="005A0EA5"/>
    <w:rsid w:val="005B3332"/>
    <w:rsid w:val="005C123D"/>
    <w:rsid w:val="005E2ABC"/>
    <w:rsid w:val="005E47BD"/>
    <w:rsid w:val="005F5D78"/>
    <w:rsid w:val="00607915"/>
    <w:rsid w:val="006120E1"/>
    <w:rsid w:val="00614A49"/>
    <w:rsid w:val="00623607"/>
    <w:rsid w:val="006308D5"/>
    <w:rsid w:val="006313E5"/>
    <w:rsid w:val="00642663"/>
    <w:rsid w:val="00647C5F"/>
    <w:rsid w:val="00654380"/>
    <w:rsid w:val="006677B0"/>
    <w:rsid w:val="00670C21"/>
    <w:rsid w:val="00670E26"/>
    <w:rsid w:val="006763D1"/>
    <w:rsid w:val="00676DE5"/>
    <w:rsid w:val="00693A10"/>
    <w:rsid w:val="00694160"/>
    <w:rsid w:val="00696D77"/>
    <w:rsid w:val="006B260E"/>
    <w:rsid w:val="006B3939"/>
    <w:rsid w:val="006C014C"/>
    <w:rsid w:val="006C0984"/>
    <w:rsid w:val="006C10F0"/>
    <w:rsid w:val="006C3901"/>
    <w:rsid w:val="006D7049"/>
    <w:rsid w:val="006E66FC"/>
    <w:rsid w:val="006F1198"/>
    <w:rsid w:val="006F4DA0"/>
    <w:rsid w:val="006F5EC4"/>
    <w:rsid w:val="00702333"/>
    <w:rsid w:val="00702C63"/>
    <w:rsid w:val="00704A8D"/>
    <w:rsid w:val="00705161"/>
    <w:rsid w:val="00707E86"/>
    <w:rsid w:val="00711277"/>
    <w:rsid w:val="0071671D"/>
    <w:rsid w:val="007235FA"/>
    <w:rsid w:val="007321BB"/>
    <w:rsid w:val="00743E50"/>
    <w:rsid w:val="0075349F"/>
    <w:rsid w:val="0075371E"/>
    <w:rsid w:val="00766689"/>
    <w:rsid w:val="00780F08"/>
    <w:rsid w:val="0078233F"/>
    <w:rsid w:val="0078726E"/>
    <w:rsid w:val="0079089B"/>
    <w:rsid w:val="00791F1F"/>
    <w:rsid w:val="007B0CFD"/>
    <w:rsid w:val="007B0D42"/>
    <w:rsid w:val="007C27E0"/>
    <w:rsid w:val="007C6471"/>
    <w:rsid w:val="007C6FBC"/>
    <w:rsid w:val="007D1185"/>
    <w:rsid w:val="007D2576"/>
    <w:rsid w:val="007D49DE"/>
    <w:rsid w:val="007D4F45"/>
    <w:rsid w:val="007D5E35"/>
    <w:rsid w:val="007E6317"/>
    <w:rsid w:val="0080135E"/>
    <w:rsid w:val="00804196"/>
    <w:rsid w:val="00807A22"/>
    <w:rsid w:val="0081063C"/>
    <w:rsid w:val="0082082A"/>
    <w:rsid w:val="0083636B"/>
    <w:rsid w:val="00845FE2"/>
    <w:rsid w:val="008501F4"/>
    <w:rsid w:val="0085248F"/>
    <w:rsid w:val="00853C09"/>
    <w:rsid w:val="008616D9"/>
    <w:rsid w:val="00865164"/>
    <w:rsid w:val="008751C8"/>
    <w:rsid w:val="0089043A"/>
    <w:rsid w:val="00896D91"/>
    <w:rsid w:val="008A3A19"/>
    <w:rsid w:val="008A7431"/>
    <w:rsid w:val="008B47E0"/>
    <w:rsid w:val="008C01EA"/>
    <w:rsid w:val="008C7B00"/>
    <w:rsid w:val="008E440E"/>
    <w:rsid w:val="008F5301"/>
    <w:rsid w:val="00900860"/>
    <w:rsid w:val="00924835"/>
    <w:rsid w:val="0092659A"/>
    <w:rsid w:val="009273B4"/>
    <w:rsid w:val="0093367B"/>
    <w:rsid w:val="00935B97"/>
    <w:rsid w:val="0094218F"/>
    <w:rsid w:val="00942EA9"/>
    <w:rsid w:val="0094718C"/>
    <w:rsid w:val="00947FA7"/>
    <w:rsid w:val="009508D1"/>
    <w:rsid w:val="009558D8"/>
    <w:rsid w:val="00957712"/>
    <w:rsid w:val="00957A62"/>
    <w:rsid w:val="00964BE9"/>
    <w:rsid w:val="00980F79"/>
    <w:rsid w:val="00983CEB"/>
    <w:rsid w:val="009843DD"/>
    <w:rsid w:val="00986D0B"/>
    <w:rsid w:val="00990634"/>
    <w:rsid w:val="009917DD"/>
    <w:rsid w:val="00995788"/>
    <w:rsid w:val="009B3820"/>
    <w:rsid w:val="009B6CB3"/>
    <w:rsid w:val="009B78A2"/>
    <w:rsid w:val="009D078D"/>
    <w:rsid w:val="009D31AD"/>
    <w:rsid w:val="009E707C"/>
    <w:rsid w:val="009F0769"/>
    <w:rsid w:val="009F4A17"/>
    <w:rsid w:val="00A06695"/>
    <w:rsid w:val="00A1299E"/>
    <w:rsid w:val="00A248E2"/>
    <w:rsid w:val="00A3418B"/>
    <w:rsid w:val="00A343D5"/>
    <w:rsid w:val="00A41B68"/>
    <w:rsid w:val="00A44394"/>
    <w:rsid w:val="00A47315"/>
    <w:rsid w:val="00A47C12"/>
    <w:rsid w:val="00A55D22"/>
    <w:rsid w:val="00A56B34"/>
    <w:rsid w:val="00A618FC"/>
    <w:rsid w:val="00A7053F"/>
    <w:rsid w:val="00A71EC6"/>
    <w:rsid w:val="00A73CA7"/>
    <w:rsid w:val="00A82A69"/>
    <w:rsid w:val="00A8435E"/>
    <w:rsid w:val="00A8462E"/>
    <w:rsid w:val="00A91FDE"/>
    <w:rsid w:val="00AC112C"/>
    <w:rsid w:val="00AE510C"/>
    <w:rsid w:val="00AF3B1B"/>
    <w:rsid w:val="00B0378B"/>
    <w:rsid w:val="00B179C9"/>
    <w:rsid w:val="00B17F13"/>
    <w:rsid w:val="00B27F6B"/>
    <w:rsid w:val="00B30158"/>
    <w:rsid w:val="00B51994"/>
    <w:rsid w:val="00B51BC3"/>
    <w:rsid w:val="00B62ECD"/>
    <w:rsid w:val="00B70499"/>
    <w:rsid w:val="00B72F77"/>
    <w:rsid w:val="00B8481C"/>
    <w:rsid w:val="00B90C3B"/>
    <w:rsid w:val="00B931ED"/>
    <w:rsid w:val="00BA05C5"/>
    <w:rsid w:val="00BA49DB"/>
    <w:rsid w:val="00BA61D3"/>
    <w:rsid w:val="00BC622F"/>
    <w:rsid w:val="00BC6451"/>
    <w:rsid w:val="00BC6BB7"/>
    <w:rsid w:val="00BD1D25"/>
    <w:rsid w:val="00BD28B9"/>
    <w:rsid w:val="00BD29EC"/>
    <w:rsid w:val="00BD2BB0"/>
    <w:rsid w:val="00BD4C64"/>
    <w:rsid w:val="00BE4D76"/>
    <w:rsid w:val="00BE618D"/>
    <w:rsid w:val="00BE70C8"/>
    <w:rsid w:val="00BF42F4"/>
    <w:rsid w:val="00C000B0"/>
    <w:rsid w:val="00C00737"/>
    <w:rsid w:val="00C013D8"/>
    <w:rsid w:val="00C1236A"/>
    <w:rsid w:val="00C22DF6"/>
    <w:rsid w:val="00C25229"/>
    <w:rsid w:val="00C34D1D"/>
    <w:rsid w:val="00C536F5"/>
    <w:rsid w:val="00C638CE"/>
    <w:rsid w:val="00C645C4"/>
    <w:rsid w:val="00C66AB0"/>
    <w:rsid w:val="00C74767"/>
    <w:rsid w:val="00C772FD"/>
    <w:rsid w:val="00C83435"/>
    <w:rsid w:val="00C8596F"/>
    <w:rsid w:val="00C909FE"/>
    <w:rsid w:val="00C95868"/>
    <w:rsid w:val="00C9679B"/>
    <w:rsid w:val="00C96C28"/>
    <w:rsid w:val="00CA1CB1"/>
    <w:rsid w:val="00CB26D5"/>
    <w:rsid w:val="00CC1B0F"/>
    <w:rsid w:val="00CC57A0"/>
    <w:rsid w:val="00CD0810"/>
    <w:rsid w:val="00CD238E"/>
    <w:rsid w:val="00CE0762"/>
    <w:rsid w:val="00CF1BCB"/>
    <w:rsid w:val="00CF2434"/>
    <w:rsid w:val="00CF7625"/>
    <w:rsid w:val="00D006C1"/>
    <w:rsid w:val="00D00F28"/>
    <w:rsid w:val="00D05466"/>
    <w:rsid w:val="00D1082C"/>
    <w:rsid w:val="00D15CDC"/>
    <w:rsid w:val="00D27196"/>
    <w:rsid w:val="00D273C6"/>
    <w:rsid w:val="00D31F63"/>
    <w:rsid w:val="00D40E85"/>
    <w:rsid w:val="00D50F75"/>
    <w:rsid w:val="00D51C14"/>
    <w:rsid w:val="00D54600"/>
    <w:rsid w:val="00D604B3"/>
    <w:rsid w:val="00D62DD3"/>
    <w:rsid w:val="00D636C1"/>
    <w:rsid w:val="00D644B9"/>
    <w:rsid w:val="00D64852"/>
    <w:rsid w:val="00D65C2C"/>
    <w:rsid w:val="00D65EF2"/>
    <w:rsid w:val="00D71A86"/>
    <w:rsid w:val="00D80BC2"/>
    <w:rsid w:val="00D91D5D"/>
    <w:rsid w:val="00DA623E"/>
    <w:rsid w:val="00DB3A18"/>
    <w:rsid w:val="00DB5508"/>
    <w:rsid w:val="00DB5552"/>
    <w:rsid w:val="00DB7209"/>
    <w:rsid w:val="00DD4453"/>
    <w:rsid w:val="00DD45F3"/>
    <w:rsid w:val="00DE0C01"/>
    <w:rsid w:val="00DE2202"/>
    <w:rsid w:val="00DE5549"/>
    <w:rsid w:val="00E1711B"/>
    <w:rsid w:val="00E206E6"/>
    <w:rsid w:val="00E21B43"/>
    <w:rsid w:val="00E22DA5"/>
    <w:rsid w:val="00E27922"/>
    <w:rsid w:val="00E33CA8"/>
    <w:rsid w:val="00E36AFE"/>
    <w:rsid w:val="00E36CE2"/>
    <w:rsid w:val="00E377B5"/>
    <w:rsid w:val="00E55C4C"/>
    <w:rsid w:val="00E7596B"/>
    <w:rsid w:val="00E834AD"/>
    <w:rsid w:val="00E83733"/>
    <w:rsid w:val="00E90BD4"/>
    <w:rsid w:val="00E97471"/>
    <w:rsid w:val="00EA2412"/>
    <w:rsid w:val="00EA60C7"/>
    <w:rsid w:val="00EB1910"/>
    <w:rsid w:val="00EB389E"/>
    <w:rsid w:val="00EB4CBB"/>
    <w:rsid w:val="00EC3F04"/>
    <w:rsid w:val="00EC6F78"/>
    <w:rsid w:val="00EE3914"/>
    <w:rsid w:val="00EE3BB4"/>
    <w:rsid w:val="00EE3C6C"/>
    <w:rsid w:val="00EF24FF"/>
    <w:rsid w:val="00EF3886"/>
    <w:rsid w:val="00EF47D7"/>
    <w:rsid w:val="00F03521"/>
    <w:rsid w:val="00F17015"/>
    <w:rsid w:val="00F30F68"/>
    <w:rsid w:val="00F31D49"/>
    <w:rsid w:val="00F44343"/>
    <w:rsid w:val="00F46260"/>
    <w:rsid w:val="00F532A2"/>
    <w:rsid w:val="00F56853"/>
    <w:rsid w:val="00F6371F"/>
    <w:rsid w:val="00F66E7B"/>
    <w:rsid w:val="00F73DBC"/>
    <w:rsid w:val="00F84FF1"/>
    <w:rsid w:val="00F940D0"/>
    <w:rsid w:val="00F947E9"/>
    <w:rsid w:val="00FD23B9"/>
    <w:rsid w:val="00FE175E"/>
    <w:rsid w:val="00FE35CF"/>
    <w:rsid w:val="00FE53A5"/>
    <w:rsid w:val="00FE734E"/>
    <w:rsid w:val="00FE79B4"/>
    <w:rsid w:val="00FE7F68"/>
    <w:rsid w:val="00FF1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62B33"/>
    <w:pPr>
      <w:spacing w:after="80"/>
      <w:jc w:val="both"/>
    </w:pPr>
    <w:rPr>
      <w:rFonts w:ascii="Times New Roman" w:hAnsi="Times New Roman"/>
      <w:sz w:val="24"/>
    </w:rPr>
  </w:style>
  <w:style w:type="paragraph" w:styleId="1">
    <w:name w:val="heading 1"/>
    <w:basedOn w:val="a"/>
    <w:next w:val="a"/>
    <w:link w:val="10"/>
    <w:uiPriority w:val="9"/>
    <w:qFormat/>
    <w:rsid w:val="00D31F6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5">
    <w:name w:val="footnote text"/>
    <w:basedOn w:val="a"/>
    <w:link w:val="a6"/>
    <w:uiPriority w:val="99"/>
    <w:unhideWhenUsed/>
    <w:rsid w:val="00F73DBC"/>
    <w:pPr>
      <w:spacing w:after="0" w:line="240" w:lineRule="auto"/>
    </w:pPr>
    <w:rPr>
      <w:sz w:val="20"/>
      <w:szCs w:val="20"/>
    </w:rPr>
  </w:style>
  <w:style w:type="character" w:customStyle="1" w:styleId="a6">
    <w:name w:val="Текст сноски Знак"/>
    <w:basedOn w:val="a1"/>
    <w:link w:val="a5"/>
    <w:uiPriority w:val="99"/>
    <w:rsid w:val="00F73DBC"/>
    <w:rPr>
      <w:sz w:val="20"/>
      <w:szCs w:val="20"/>
    </w:rPr>
  </w:style>
  <w:style w:type="character" w:styleId="a7">
    <w:name w:val="footnote reference"/>
    <w:basedOn w:val="a1"/>
    <w:uiPriority w:val="99"/>
    <w:unhideWhenUsed/>
    <w:rsid w:val="00F73DBC"/>
    <w:rPr>
      <w:vertAlign w:val="superscript"/>
    </w:rPr>
  </w:style>
  <w:style w:type="character" w:styleId="a8">
    <w:name w:val="Placeholder Text"/>
    <w:basedOn w:val="a1"/>
    <w:uiPriority w:val="99"/>
    <w:semiHidden/>
    <w:rsid w:val="005E47BD"/>
    <w:rPr>
      <w:color w:val="808080"/>
    </w:rPr>
  </w:style>
  <w:style w:type="paragraph" w:styleId="a9">
    <w:name w:val="Balloon Text"/>
    <w:basedOn w:val="a"/>
    <w:link w:val="aa"/>
    <w:uiPriority w:val="99"/>
    <w:semiHidden/>
    <w:unhideWhenUsed/>
    <w:rsid w:val="005E47BD"/>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5E47BD"/>
    <w:rPr>
      <w:rFonts w:ascii="Tahoma" w:hAnsi="Tahoma" w:cs="Tahoma"/>
      <w:sz w:val="16"/>
      <w:szCs w:val="16"/>
    </w:rPr>
  </w:style>
  <w:style w:type="table" w:styleId="ab">
    <w:name w:val="Table Grid"/>
    <w:basedOn w:val="a2"/>
    <w:uiPriority w:val="3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B0CFD"/>
    <w:pPr>
      <w:ind w:left="720"/>
      <w:contextualSpacing/>
    </w:pPr>
  </w:style>
  <w:style w:type="character" w:styleId="ad">
    <w:name w:val="Hyperlink"/>
    <w:basedOn w:val="a1"/>
    <w:uiPriority w:val="99"/>
    <w:unhideWhenUsed/>
    <w:rsid w:val="00EB389E"/>
    <w:rPr>
      <w:color w:val="0000FF" w:themeColor="hyperlink"/>
      <w:u w:val="single"/>
    </w:rPr>
  </w:style>
  <w:style w:type="table" w:styleId="ae">
    <w:name w:val="Light Shading"/>
    <w:basedOn w:val="a2"/>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
    <w:name w:val="header"/>
    <w:basedOn w:val="a"/>
    <w:link w:val="af0"/>
    <w:uiPriority w:val="99"/>
    <w:unhideWhenUsed/>
    <w:rsid w:val="009508D1"/>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9508D1"/>
  </w:style>
  <w:style w:type="paragraph" w:styleId="af1">
    <w:name w:val="footer"/>
    <w:basedOn w:val="a"/>
    <w:link w:val="af2"/>
    <w:uiPriority w:val="99"/>
    <w:unhideWhenUsed/>
    <w:rsid w:val="009508D1"/>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9508D1"/>
  </w:style>
  <w:style w:type="paragraph" w:styleId="af3">
    <w:name w:val="annotation text"/>
    <w:basedOn w:val="a"/>
    <w:link w:val="af4"/>
    <w:uiPriority w:val="99"/>
    <w:unhideWhenUsed/>
    <w:rsid w:val="00A91FDE"/>
    <w:pPr>
      <w:spacing w:line="240" w:lineRule="auto"/>
    </w:pPr>
    <w:rPr>
      <w:rFonts w:eastAsiaTheme="minorEastAsia"/>
      <w:sz w:val="20"/>
      <w:szCs w:val="20"/>
      <w:lang w:val="en-GB" w:eastAsia="zh-CN"/>
    </w:rPr>
  </w:style>
  <w:style w:type="character" w:customStyle="1" w:styleId="af4">
    <w:name w:val="Текст примечания Знак"/>
    <w:basedOn w:val="a1"/>
    <w:link w:val="af3"/>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1"/>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2"/>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1"/>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5">
    <w:name w:val="FollowedHyperlink"/>
    <w:basedOn w:val="a1"/>
    <w:uiPriority w:val="99"/>
    <w:semiHidden/>
    <w:unhideWhenUsed/>
    <w:rsid w:val="00422DE3"/>
    <w:rPr>
      <w:color w:val="800080" w:themeColor="followedHyperlink"/>
      <w:u w:val="single"/>
    </w:rPr>
  </w:style>
  <w:style w:type="character" w:customStyle="1" w:styleId="10">
    <w:name w:val="Заголовок 1 Знак"/>
    <w:basedOn w:val="a1"/>
    <w:link w:val="1"/>
    <w:uiPriority w:val="9"/>
    <w:rsid w:val="00D31F63"/>
    <w:rPr>
      <w:rFonts w:asciiTheme="majorHAnsi" w:eastAsiaTheme="majorEastAsia" w:hAnsiTheme="majorHAnsi" w:cstheme="majorBidi"/>
      <w:b/>
      <w:bCs/>
      <w:color w:val="365F91" w:themeColor="accent1" w:themeShade="BF"/>
      <w:sz w:val="28"/>
      <w:szCs w:val="28"/>
      <w:lang w:val="en-GB"/>
    </w:rPr>
  </w:style>
  <w:style w:type="character" w:styleId="af6">
    <w:name w:val="annotation reference"/>
    <w:basedOn w:val="a1"/>
    <w:uiPriority w:val="99"/>
    <w:semiHidden/>
    <w:unhideWhenUsed/>
    <w:rsid w:val="00D31F63"/>
    <w:rPr>
      <w:sz w:val="16"/>
      <w:szCs w:val="16"/>
    </w:rPr>
  </w:style>
  <w:style w:type="paragraph" w:styleId="af7">
    <w:name w:val="annotation subject"/>
    <w:basedOn w:val="af3"/>
    <w:next w:val="af3"/>
    <w:link w:val="af8"/>
    <w:uiPriority w:val="99"/>
    <w:semiHidden/>
    <w:unhideWhenUsed/>
    <w:rsid w:val="00D31F63"/>
    <w:pPr>
      <w:jc w:val="left"/>
    </w:pPr>
    <w:rPr>
      <w:rFonts w:asciiTheme="minorHAnsi" w:hAnsiTheme="minorHAnsi"/>
      <w:b/>
      <w:bCs/>
    </w:rPr>
  </w:style>
  <w:style w:type="character" w:customStyle="1" w:styleId="af8">
    <w:name w:val="Тема примечания Знак"/>
    <w:basedOn w:val="af4"/>
    <w:link w:val="af7"/>
    <w:uiPriority w:val="99"/>
    <w:semiHidden/>
    <w:rsid w:val="00D31F63"/>
    <w:rPr>
      <w:rFonts w:eastAsiaTheme="minorEastAsia"/>
      <w:b/>
      <w:bCs/>
      <w:sz w:val="20"/>
      <w:szCs w:val="20"/>
      <w:lang w:val="en-GB" w:eastAsia="zh-CN"/>
    </w:rPr>
  </w:style>
  <w:style w:type="paragraph" w:customStyle="1" w:styleId="MSubHeader">
    <w:name w:val="M.Sub.Header"/>
    <w:basedOn w:val="a"/>
    <w:link w:val="MSubHeaderChar"/>
    <w:qFormat/>
    <w:rsid w:val="00D31F63"/>
    <w:pPr>
      <w:shd w:val="clear" w:color="auto" w:fill="FFFFFF"/>
      <w:spacing w:after="0"/>
      <w:jc w:val="left"/>
    </w:pPr>
    <w:rPr>
      <w:rFonts w:asciiTheme="minorHAnsi" w:eastAsia="Times New Roman" w:hAnsiTheme="minorHAnsi" w:cs="Times New Roman"/>
      <w:b/>
      <w:bCs/>
      <w:color w:val="4A4A4A"/>
      <w:sz w:val="21"/>
      <w:szCs w:val="21"/>
      <w:lang w:val="en-GB" w:eastAsia="en-GB"/>
    </w:rPr>
  </w:style>
  <w:style w:type="paragraph" w:customStyle="1" w:styleId="MGTHeader">
    <w:name w:val="M.G+T.Header"/>
    <w:basedOn w:val="a"/>
    <w:link w:val="MGTHeaderChar"/>
    <w:qFormat/>
    <w:rsid w:val="00D31F63"/>
    <w:pPr>
      <w:shd w:val="clear" w:color="auto" w:fill="F5F5F5"/>
      <w:spacing w:after="0"/>
      <w:jc w:val="left"/>
      <w:outlineLvl w:val="4"/>
    </w:pPr>
    <w:rPr>
      <w:rFonts w:asciiTheme="minorHAnsi" w:eastAsia="Times New Roman" w:hAnsiTheme="minorHAnsi" w:cs="Times New Roman"/>
      <w:color w:val="333333"/>
      <w:sz w:val="21"/>
      <w:szCs w:val="21"/>
      <w:lang w:val="en-GB" w:eastAsia="en-GB"/>
    </w:rPr>
  </w:style>
  <w:style w:type="character" w:customStyle="1" w:styleId="MSubHeaderChar">
    <w:name w:val="M.Sub.Header Char"/>
    <w:basedOn w:val="a1"/>
    <w:link w:val="MSubHeader"/>
    <w:rsid w:val="00D31F63"/>
    <w:rPr>
      <w:rFonts w:eastAsia="Times New Roman" w:cs="Times New Roman"/>
      <w:b/>
      <w:bCs/>
      <w:color w:val="4A4A4A"/>
      <w:sz w:val="21"/>
      <w:szCs w:val="21"/>
      <w:shd w:val="clear" w:color="auto" w:fill="FFFFFF"/>
      <w:lang w:val="en-GB" w:eastAsia="en-GB"/>
    </w:rPr>
  </w:style>
  <w:style w:type="paragraph" w:customStyle="1" w:styleId="MIndHeader">
    <w:name w:val="M.Ind.Header"/>
    <w:basedOn w:val="a"/>
    <w:link w:val="MIndHeaderChar"/>
    <w:qFormat/>
    <w:rsid w:val="00D31F63"/>
    <w:pPr>
      <w:shd w:val="clear" w:color="auto" w:fill="F5F5F5"/>
      <w:spacing w:after="0"/>
      <w:jc w:val="left"/>
      <w:outlineLvl w:val="1"/>
    </w:pPr>
    <w:rPr>
      <w:rFonts w:asciiTheme="minorHAnsi" w:eastAsia="Times New Roman" w:hAnsiTheme="minorHAnsi" w:cs="Times New Roman"/>
      <w:color w:val="1C75BC"/>
      <w:sz w:val="22"/>
      <w:lang w:val="en-GB" w:eastAsia="en-GB"/>
    </w:rPr>
  </w:style>
  <w:style w:type="character" w:customStyle="1" w:styleId="MGTHeaderChar">
    <w:name w:val="M.G+T.Header Char"/>
    <w:basedOn w:val="a1"/>
    <w:link w:val="MGTHeader"/>
    <w:rsid w:val="00D31F63"/>
    <w:rPr>
      <w:rFonts w:eastAsia="Times New Roman" w:cs="Times New Roman"/>
      <w:color w:val="333333"/>
      <w:sz w:val="21"/>
      <w:szCs w:val="21"/>
      <w:shd w:val="clear" w:color="auto" w:fill="F5F5F5"/>
      <w:lang w:val="en-GB" w:eastAsia="en-GB"/>
    </w:rPr>
  </w:style>
  <w:style w:type="character" w:customStyle="1" w:styleId="MIndHeaderChar">
    <w:name w:val="M.Ind.Header Char"/>
    <w:basedOn w:val="a1"/>
    <w:link w:val="MIndHeader"/>
    <w:rsid w:val="00D31F63"/>
    <w:rPr>
      <w:rFonts w:eastAsia="Times New Roman" w:cs="Times New Roman"/>
      <w:color w:val="1C75BC"/>
      <w:shd w:val="clear" w:color="auto" w:fill="F5F5F5"/>
      <w:lang w:val="en-GB" w:eastAsia="en-GB"/>
    </w:rPr>
  </w:style>
  <w:style w:type="paragraph" w:styleId="af9">
    <w:name w:val="Body Text"/>
    <w:basedOn w:val="a"/>
    <w:link w:val="afa"/>
    <w:uiPriority w:val="1"/>
    <w:qFormat/>
    <w:rsid w:val="00D31F63"/>
    <w:pPr>
      <w:widowControl w:val="0"/>
      <w:autoSpaceDE w:val="0"/>
      <w:autoSpaceDN w:val="0"/>
      <w:adjustRightInd w:val="0"/>
      <w:spacing w:before="64" w:after="0" w:line="240" w:lineRule="auto"/>
      <w:ind w:left="845"/>
      <w:jc w:val="left"/>
    </w:pPr>
    <w:rPr>
      <w:rFonts w:ascii="Arial" w:eastAsiaTheme="minorEastAsia" w:hAnsi="Arial" w:cs="Arial"/>
      <w:sz w:val="19"/>
      <w:szCs w:val="19"/>
      <w:lang w:val="en-GB" w:eastAsia="en-GB"/>
    </w:rPr>
  </w:style>
  <w:style w:type="character" w:customStyle="1" w:styleId="afa">
    <w:name w:val="Основной текст Знак"/>
    <w:basedOn w:val="a1"/>
    <w:link w:val="af9"/>
    <w:uiPriority w:val="1"/>
    <w:rsid w:val="00D31F63"/>
    <w:rPr>
      <w:rFonts w:ascii="Arial" w:eastAsiaTheme="minorEastAsia" w:hAnsi="Arial" w:cs="Arial"/>
      <w:sz w:val="19"/>
      <w:szCs w:val="19"/>
      <w:lang w:val="en-GB" w:eastAsia="en-GB"/>
    </w:rPr>
  </w:style>
  <w:style w:type="paragraph" w:styleId="HTML">
    <w:name w:val="HTML Preformatted"/>
    <w:basedOn w:val="a"/>
    <w:link w:val="HTML0"/>
    <w:uiPriority w:val="99"/>
    <w:semiHidden/>
    <w:unhideWhenUsed/>
    <w:rsid w:val="00D31F63"/>
    <w:pPr>
      <w:spacing w:after="0" w:line="240" w:lineRule="auto"/>
      <w:jc w:val="left"/>
    </w:pPr>
    <w:rPr>
      <w:rFonts w:ascii="Consolas" w:eastAsiaTheme="minorEastAsia" w:hAnsi="Consolas"/>
      <w:sz w:val="20"/>
      <w:szCs w:val="20"/>
      <w:lang w:val="en-GB" w:eastAsia="zh-CN"/>
    </w:rPr>
  </w:style>
  <w:style w:type="character" w:customStyle="1" w:styleId="HTML0">
    <w:name w:val="Стандартный HTML Знак"/>
    <w:basedOn w:val="a1"/>
    <w:link w:val="HTML"/>
    <w:uiPriority w:val="99"/>
    <w:semiHidden/>
    <w:rsid w:val="00D31F63"/>
    <w:rPr>
      <w:rFonts w:ascii="Consolas" w:eastAsiaTheme="minorEastAsia" w:hAnsi="Consolas"/>
      <w:sz w:val="20"/>
      <w:szCs w:val="20"/>
      <w:lang w:val="en-GB" w:eastAsia="zh-CN"/>
    </w:rPr>
  </w:style>
  <w:style w:type="paragraph" w:styleId="afb">
    <w:name w:val="Normal (Web)"/>
    <w:basedOn w:val="a"/>
    <w:uiPriority w:val="99"/>
    <w:semiHidden/>
    <w:unhideWhenUsed/>
    <w:rsid w:val="00D31F63"/>
    <w:pPr>
      <w:spacing w:before="100" w:beforeAutospacing="1" w:after="100" w:afterAutospacing="1" w:line="240" w:lineRule="auto"/>
      <w:jc w:val="left"/>
    </w:pPr>
    <w:rPr>
      <w:rFonts w:eastAsiaTheme="minorEastAsia" w:cs="Times New Roman"/>
      <w:szCs w:val="24"/>
      <w:lang w:val="fr-CH" w:eastAsia="fr-CH"/>
    </w:rPr>
  </w:style>
  <w:style w:type="table" w:customStyle="1" w:styleId="GridTableLight">
    <w:name w:val="Grid Table Light"/>
    <w:basedOn w:val="a2"/>
    <w:uiPriority w:val="40"/>
    <w:rsid w:val="00BA05C5"/>
    <w:pPr>
      <w:spacing w:after="0" w:line="240" w:lineRule="auto"/>
    </w:pPr>
    <w:rPr>
      <w:rFonts w:eastAsiaTheme="minorEastAsia"/>
      <w:lang w:val="en-GB" w:eastAsia="zh-C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0">
    <w:name w:val="No Spacing"/>
    <w:uiPriority w:val="1"/>
    <w:qFormat/>
    <w:rsid w:val="009558D8"/>
    <w:pPr>
      <w:spacing w:after="0" w:line="240" w:lineRule="auto"/>
      <w:jc w:val="both"/>
    </w:pPr>
    <w:rPr>
      <w:rFonts w:ascii="Times New Roman" w:hAnsi="Times New Roman"/>
      <w:sz w:val="24"/>
    </w:rPr>
  </w:style>
  <w:style w:type="table" w:customStyle="1" w:styleId="11">
    <w:name w:val="Сетка таблицы1"/>
    <w:basedOn w:val="a2"/>
    <w:next w:val="ab"/>
    <w:uiPriority w:val="59"/>
    <w:rsid w:val="00F03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b"/>
    <w:uiPriority w:val="59"/>
    <w:rsid w:val="007C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b"/>
    <w:uiPriority w:val="59"/>
    <w:rsid w:val="00EF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b"/>
    <w:uiPriority w:val="59"/>
    <w:rsid w:val="0011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A7053F"/>
    <w:rPr>
      <w:rFonts w:ascii="Calibri" w:hAnsi="Calibri" w:cs="Calibri" w:hint="default"/>
      <w:b w:val="0"/>
      <w:bCs w:val="0"/>
      <w:i w:val="0"/>
      <w:iCs w:val="0"/>
      <w:color w:val="4A4A4A"/>
      <w:sz w:val="20"/>
      <w:szCs w:val="20"/>
    </w:rPr>
  </w:style>
  <w:style w:type="character" w:customStyle="1" w:styleId="tlid-translation">
    <w:name w:val="tlid-translation"/>
    <w:basedOn w:val="a1"/>
    <w:rsid w:val="00935B97"/>
  </w:style>
  <w:style w:type="character" w:customStyle="1" w:styleId="gt-baf-cell">
    <w:name w:val="gt-baf-cell"/>
    <w:basedOn w:val="a1"/>
    <w:rsid w:val="006C10F0"/>
  </w:style>
  <w:style w:type="table" w:styleId="1-1">
    <w:name w:val="Medium Shading 1 Accent 1"/>
    <w:basedOn w:val="a2"/>
    <w:uiPriority w:val="63"/>
    <w:rsid w:val="00AF3B1B"/>
    <w:pPr>
      <w:spacing w:after="0" w:line="240" w:lineRule="auto"/>
    </w:pPr>
    <w:rPr>
      <w:rFonts w:eastAsiaTheme="minorEastAsia"/>
      <w:lang w:val="en-GB" w:eastAsia="zh-C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5">
    <w:name w:val="Сетка таблицы5"/>
    <w:basedOn w:val="a2"/>
    <w:next w:val="ab"/>
    <w:uiPriority w:val="59"/>
    <w:rsid w:val="004F3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1"/>
    <w:rsid w:val="0083636B"/>
  </w:style>
  <w:style w:type="character" w:customStyle="1" w:styleId="eop">
    <w:name w:val="eop"/>
    <w:basedOn w:val="a1"/>
    <w:rsid w:val="0083636B"/>
  </w:style>
  <w:style w:type="paragraph" w:styleId="afc">
    <w:name w:val="Bibliography"/>
    <w:basedOn w:val="a"/>
    <w:next w:val="a"/>
    <w:uiPriority w:val="37"/>
    <w:unhideWhenUsed/>
    <w:rsid w:val="0083636B"/>
    <w:pPr>
      <w:spacing w:after="200"/>
      <w:jc w:val="left"/>
    </w:pPr>
    <w:rPr>
      <w:rFonts w:asciiTheme="minorHAnsi" w:eastAsiaTheme="minorEastAsia" w:hAnsiTheme="minorHAnsi"/>
      <w:sz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62B33"/>
    <w:pPr>
      <w:spacing w:after="80"/>
      <w:jc w:val="both"/>
    </w:pPr>
    <w:rPr>
      <w:rFonts w:ascii="Times New Roman" w:hAnsi="Times New Roman"/>
      <w:sz w:val="24"/>
    </w:rPr>
  </w:style>
  <w:style w:type="paragraph" w:styleId="1">
    <w:name w:val="heading 1"/>
    <w:basedOn w:val="a"/>
    <w:next w:val="a"/>
    <w:link w:val="10"/>
    <w:uiPriority w:val="9"/>
    <w:qFormat/>
    <w:rsid w:val="00D31F6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5">
    <w:name w:val="footnote text"/>
    <w:basedOn w:val="a"/>
    <w:link w:val="a6"/>
    <w:uiPriority w:val="99"/>
    <w:unhideWhenUsed/>
    <w:rsid w:val="00F73DBC"/>
    <w:pPr>
      <w:spacing w:after="0" w:line="240" w:lineRule="auto"/>
    </w:pPr>
    <w:rPr>
      <w:sz w:val="20"/>
      <w:szCs w:val="20"/>
    </w:rPr>
  </w:style>
  <w:style w:type="character" w:customStyle="1" w:styleId="a6">
    <w:name w:val="Текст сноски Знак"/>
    <w:basedOn w:val="a1"/>
    <w:link w:val="a5"/>
    <w:uiPriority w:val="99"/>
    <w:rsid w:val="00F73DBC"/>
    <w:rPr>
      <w:sz w:val="20"/>
      <w:szCs w:val="20"/>
    </w:rPr>
  </w:style>
  <w:style w:type="character" w:styleId="a7">
    <w:name w:val="footnote reference"/>
    <w:basedOn w:val="a1"/>
    <w:uiPriority w:val="99"/>
    <w:unhideWhenUsed/>
    <w:rsid w:val="00F73DBC"/>
    <w:rPr>
      <w:vertAlign w:val="superscript"/>
    </w:rPr>
  </w:style>
  <w:style w:type="character" w:styleId="a8">
    <w:name w:val="Placeholder Text"/>
    <w:basedOn w:val="a1"/>
    <w:uiPriority w:val="99"/>
    <w:semiHidden/>
    <w:rsid w:val="005E47BD"/>
    <w:rPr>
      <w:color w:val="808080"/>
    </w:rPr>
  </w:style>
  <w:style w:type="paragraph" w:styleId="a9">
    <w:name w:val="Balloon Text"/>
    <w:basedOn w:val="a"/>
    <w:link w:val="aa"/>
    <w:uiPriority w:val="99"/>
    <w:semiHidden/>
    <w:unhideWhenUsed/>
    <w:rsid w:val="005E47BD"/>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5E47BD"/>
    <w:rPr>
      <w:rFonts w:ascii="Tahoma" w:hAnsi="Tahoma" w:cs="Tahoma"/>
      <w:sz w:val="16"/>
      <w:szCs w:val="16"/>
    </w:rPr>
  </w:style>
  <w:style w:type="table" w:styleId="ab">
    <w:name w:val="Table Grid"/>
    <w:basedOn w:val="a2"/>
    <w:uiPriority w:val="3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B0CFD"/>
    <w:pPr>
      <w:ind w:left="720"/>
      <w:contextualSpacing/>
    </w:pPr>
  </w:style>
  <w:style w:type="character" w:styleId="ad">
    <w:name w:val="Hyperlink"/>
    <w:basedOn w:val="a1"/>
    <w:uiPriority w:val="99"/>
    <w:unhideWhenUsed/>
    <w:rsid w:val="00EB389E"/>
    <w:rPr>
      <w:color w:val="0000FF" w:themeColor="hyperlink"/>
      <w:u w:val="single"/>
    </w:rPr>
  </w:style>
  <w:style w:type="table" w:styleId="ae">
    <w:name w:val="Light Shading"/>
    <w:basedOn w:val="a2"/>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
    <w:name w:val="header"/>
    <w:basedOn w:val="a"/>
    <w:link w:val="af0"/>
    <w:uiPriority w:val="99"/>
    <w:unhideWhenUsed/>
    <w:rsid w:val="009508D1"/>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9508D1"/>
  </w:style>
  <w:style w:type="paragraph" w:styleId="af1">
    <w:name w:val="footer"/>
    <w:basedOn w:val="a"/>
    <w:link w:val="af2"/>
    <w:uiPriority w:val="99"/>
    <w:unhideWhenUsed/>
    <w:rsid w:val="009508D1"/>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9508D1"/>
  </w:style>
  <w:style w:type="paragraph" w:styleId="af3">
    <w:name w:val="annotation text"/>
    <w:basedOn w:val="a"/>
    <w:link w:val="af4"/>
    <w:uiPriority w:val="99"/>
    <w:unhideWhenUsed/>
    <w:rsid w:val="00A91FDE"/>
    <w:pPr>
      <w:spacing w:line="240" w:lineRule="auto"/>
    </w:pPr>
    <w:rPr>
      <w:rFonts w:eastAsiaTheme="minorEastAsia"/>
      <w:sz w:val="20"/>
      <w:szCs w:val="20"/>
      <w:lang w:val="en-GB" w:eastAsia="zh-CN"/>
    </w:rPr>
  </w:style>
  <w:style w:type="character" w:customStyle="1" w:styleId="af4">
    <w:name w:val="Текст примечания Знак"/>
    <w:basedOn w:val="a1"/>
    <w:link w:val="af3"/>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1"/>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2"/>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1"/>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5">
    <w:name w:val="FollowedHyperlink"/>
    <w:basedOn w:val="a1"/>
    <w:uiPriority w:val="99"/>
    <w:semiHidden/>
    <w:unhideWhenUsed/>
    <w:rsid w:val="00422DE3"/>
    <w:rPr>
      <w:color w:val="800080" w:themeColor="followedHyperlink"/>
      <w:u w:val="single"/>
    </w:rPr>
  </w:style>
  <w:style w:type="character" w:customStyle="1" w:styleId="10">
    <w:name w:val="Заголовок 1 Знак"/>
    <w:basedOn w:val="a1"/>
    <w:link w:val="1"/>
    <w:uiPriority w:val="9"/>
    <w:rsid w:val="00D31F63"/>
    <w:rPr>
      <w:rFonts w:asciiTheme="majorHAnsi" w:eastAsiaTheme="majorEastAsia" w:hAnsiTheme="majorHAnsi" w:cstheme="majorBidi"/>
      <w:b/>
      <w:bCs/>
      <w:color w:val="365F91" w:themeColor="accent1" w:themeShade="BF"/>
      <w:sz w:val="28"/>
      <w:szCs w:val="28"/>
      <w:lang w:val="en-GB"/>
    </w:rPr>
  </w:style>
  <w:style w:type="character" w:styleId="af6">
    <w:name w:val="annotation reference"/>
    <w:basedOn w:val="a1"/>
    <w:uiPriority w:val="99"/>
    <w:semiHidden/>
    <w:unhideWhenUsed/>
    <w:rsid w:val="00D31F63"/>
    <w:rPr>
      <w:sz w:val="16"/>
      <w:szCs w:val="16"/>
    </w:rPr>
  </w:style>
  <w:style w:type="paragraph" w:styleId="af7">
    <w:name w:val="annotation subject"/>
    <w:basedOn w:val="af3"/>
    <w:next w:val="af3"/>
    <w:link w:val="af8"/>
    <w:uiPriority w:val="99"/>
    <w:semiHidden/>
    <w:unhideWhenUsed/>
    <w:rsid w:val="00D31F63"/>
    <w:pPr>
      <w:jc w:val="left"/>
    </w:pPr>
    <w:rPr>
      <w:rFonts w:asciiTheme="minorHAnsi" w:hAnsiTheme="minorHAnsi"/>
      <w:b/>
      <w:bCs/>
    </w:rPr>
  </w:style>
  <w:style w:type="character" w:customStyle="1" w:styleId="af8">
    <w:name w:val="Тема примечания Знак"/>
    <w:basedOn w:val="af4"/>
    <w:link w:val="af7"/>
    <w:uiPriority w:val="99"/>
    <w:semiHidden/>
    <w:rsid w:val="00D31F63"/>
    <w:rPr>
      <w:rFonts w:eastAsiaTheme="minorEastAsia"/>
      <w:b/>
      <w:bCs/>
      <w:sz w:val="20"/>
      <w:szCs w:val="20"/>
      <w:lang w:val="en-GB" w:eastAsia="zh-CN"/>
    </w:rPr>
  </w:style>
  <w:style w:type="paragraph" w:customStyle="1" w:styleId="MSubHeader">
    <w:name w:val="M.Sub.Header"/>
    <w:basedOn w:val="a"/>
    <w:link w:val="MSubHeaderChar"/>
    <w:qFormat/>
    <w:rsid w:val="00D31F63"/>
    <w:pPr>
      <w:shd w:val="clear" w:color="auto" w:fill="FFFFFF"/>
      <w:spacing w:after="0"/>
      <w:jc w:val="left"/>
    </w:pPr>
    <w:rPr>
      <w:rFonts w:asciiTheme="minorHAnsi" w:eastAsia="Times New Roman" w:hAnsiTheme="minorHAnsi" w:cs="Times New Roman"/>
      <w:b/>
      <w:bCs/>
      <w:color w:val="4A4A4A"/>
      <w:sz w:val="21"/>
      <w:szCs w:val="21"/>
      <w:lang w:val="en-GB" w:eastAsia="en-GB"/>
    </w:rPr>
  </w:style>
  <w:style w:type="paragraph" w:customStyle="1" w:styleId="MGTHeader">
    <w:name w:val="M.G+T.Header"/>
    <w:basedOn w:val="a"/>
    <w:link w:val="MGTHeaderChar"/>
    <w:qFormat/>
    <w:rsid w:val="00D31F63"/>
    <w:pPr>
      <w:shd w:val="clear" w:color="auto" w:fill="F5F5F5"/>
      <w:spacing w:after="0"/>
      <w:jc w:val="left"/>
      <w:outlineLvl w:val="4"/>
    </w:pPr>
    <w:rPr>
      <w:rFonts w:asciiTheme="minorHAnsi" w:eastAsia="Times New Roman" w:hAnsiTheme="minorHAnsi" w:cs="Times New Roman"/>
      <w:color w:val="333333"/>
      <w:sz w:val="21"/>
      <w:szCs w:val="21"/>
      <w:lang w:val="en-GB" w:eastAsia="en-GB"/>
    </w:rPr>
  </w:style>
  <w:style w:type="character" w:customStyle="1" w:styleId="MSubHeaderChar">
    <w:name w:val="M.Sub.Header Char"/>
    <w:basedOn w:val="a1"/>
    <w:link w:val="MSubHeader"/>
    <w:rsid w:val="00D31F63"/>
    <w:rPr>
      <w:rFonts w:eastAsia="Times New Roman" w:cs="Times New Roman"/>
      <w:b/>
      <w:bCs/>
      <w:color w:val="4A4A4A"/>
      <w:sz w:val="21"/>
      <w:szCs w:val="21"/>
      <w:shd w:val="clear" w:color="auto" w:fill="FFFFFF"/>
      <w:lang w:val="en-GB" w:eastAsia="en-GB"/>
    </w:rPr>
  </w:style>
  <w:style w:type="paragraph" w:customStyle="1" w:styleId="MIndHeader">
    <w:name w:val="M.Ind.Header"/>
    <w:basedOn w:val="a"/>
    <w:link w:val="MIndHeaderChar"/>
    <w:qFormat/>
    <w:rsid w:val="00D31F63"/>
    <w:pPr>
      <w:shd w:val="clear" w:color="auto" w:fill="F5F5F5"/>
      <w:spacing w:after="0"/>
      <w:jc w:val="left"/>
      <w:outlineLvl w:val="1"/>
    </w:pPr>
    <w:rPr>
      <w:rFonts w:asciiTheme="minorHAnsi" w:eastAsia="Times New Roman" w:hAnsiTheme="minorHAnsi" w:cs="Times New Roman"/>
      <w:color w:val="1C75BC"/>
      <w:sz w:val="22"/>
      <w:lang w:val="en-GB" w:eastAsia="en-GB"/>
    </w:rPr>
  </w:style>
  <w:style w:type="character" w:customStyle="1" w:styleId="MGTHeaderChar">
    <w:name w:val="M.G+T.Header Char"/>
    <w:basedOn w:val="a1"/>
    <w:link w:val="MGTHeader"/>
    <w:rsid w:val="00D31F63"/>
    <w:rPr>
      <w:rFonts w:eastAsia="Times New Roman" w:cs="Times New Roman"/>
      <w:color w:val="333333"/>
      <w:sz w:val="21"/>
      <w:szCs w:val="21"/>
      <w:shd w:val="clear" w:color="auto" w:fill="F5F5F5"/>
      <w:lang w:val="en-GB" w:eastAsia="en-GB"/>
    </w:rPr>
  </w:style>
  <w:style w:type="character" w:customStyle="1" w:styleId="MIndHeaderChar">
    <w:name w:val="M.Ind.Header Char"/>
    <w:basedOn w:val="a1"/>
    <w:link w:val="MIndHeader"/>
    <w:rsid w:val="00D31F63"/>
    <w:rPr>
      <w:rFonts w:eastAsia="Times New Roman" w:cs="Times New Roman"/>
      <w:color w:val="1C75BC"/>
      <w:shd w:val="clear" w:color="auto" w:fill="F5F5F5"/>
      <w:lang w:val="en-GB" w:eastAsia="en-GB"/>
    </w:rPr>
  </w:style>
  <w:style w:type="paragraph" w:styleId="af9">
    <w:name w:val="Body Text"/>
    <w:basedOn w:val="a"/>
    <w:link w:val="afa"/>
    <w:uiPriority w:val="1"/>
    <w:qFormat/>
    <w:rsid w:val="00D31F63"/>
    <w:pPr>
      <w:widowControl w:val="0"/>
      <w:autoSpaceDE w:val="0"/>
      <w:autoSpaceDN w:val="0"/>
      <w:adjustRightInd w:val="0"/>
      <w:spacing w:before="64" w:after="0" w:line="240" w:lineRule="auto"/>
      <w:ind w:left="845"/>
      <w:jc w:val="left"/>
    </w:pPr>
    <w:rPr>
      <w:rFonts w:ascii="Arial" w:eastAsiaTheme="minorEastAsia" w:hAnsi="Arial" w:cs="Arial"/>
      <w:sz w:val="19"/>
      <w:szCs w:val="19"/>
      <w:lang w:val="en-GB" w:eastAsia="en-GB"/>
    </w:rPr>
  </w:style>
  <w:style w:type="character" w:customStyle="1" w:styleId="afa">
    <w:name w:val="Основной текст Знак"/>
    <w:basedOn w:val="a1"/>
    <w:link w:val="af9"/>
    <w:uiPriority w:val="1"/>
    <w:rsid w:val="00D31F63"/>
    <w:rPr>
      <w:rFonts w:ascii="Arial" w:eastAsiaTheme="minorEastAsia" w:hAnsi="Arial" w:cs="Arial"/>
      <w:sz w:val="19"/>
      <w:szCs w:val="19"/>
      <w:lang w:val="en-GB" w:eastAsia="en-GB"/>
    </w:rPr>
  </w:style>
  <w:style w:type="paragraph" w:styleId="HTML">
    <w:name w:val="HTML Preformatted"/>
    <w:basedOn w:val="a"/>
    <w:link w:val="HTML0"/>
    <w:uiPriority w:val="99"/>
    <w:semiHidden/>
    <w:unhideWhenUsed/>
    <w:rsid w:val="00D31F63"/>
    <w:pPr>
      <w:spacing w:after="0" w:line="240" w:lineRule="auto"/>
      <w:jc w:val="left"/>
    </w:pPr>
    <w:rPr>
      <w:rFonts w:ascii="Consolas" w:eastAsiaTheme="minorEastAsia" w:hAnsi="Consolas"/>
      <w:sz w:val="20"/>
      <w:szCs w:val="20"/>
      <w:lang w:val="en-GB" w:eastAsia="zh-CN"/>
    </w:rPr>
  </w:style>
  <w:style w:type="character" w:customStyle="1" w:styleId="HTML0">
    <w:name w:val="Стандартный HTML Знак"/>
    <w:basedOn w:val="a1"/>
    <w:link w:val="HTML"/>
    <w:uiPriority w:val="99"/>
    <w:semiHidden/>
    <w:rsid w:val="00D31F63"/>
    <w:rPr>
      <w:rFonts w:ascii="Consolas" w:eastAsiaTheme="minorEastAsia" w:hAnsi="Consolas"/>
      <w:sz w:val="20"/>
      <w:szCs w:val="20"/>
      <w:lang w:val="en-GB" w:eastAsia="zh-CN"/>
    </w:rPr>
  </w:style>
  <w:style w:type="paragraph" w:styleId="afb">
    <w:name w:val="Normal (Web)"/>
    <w:basedOn w:val="a"/>
    <w:uiPriority w:val="99"/>
    <w:semiHidden/>
    <w:unhideWhenUsed/>
    <w:rsid w:val="00D31F63"/>
    <w:pPr>
      <w:spacing w:before="100" w:beforeAutospacing="1" w:after="100" w:afterAutospacing="1" w:line="240" w:lineRule="auto"/>
      <w:jc w:val="left"/>
    </w:pPr>
    <w:rPr>
      <w:rFonts w:eastAsiaTheme="minorEastAsia" w:cs="Times New Roman"/>
      <w:szCs w:val="24"/>
      <w:lang w:val="fr-CH" w:eastAsia="fr-CH"/>
    </w:rPr>
  </w:style>
  <w:style w:type="table" w:customStyle="1" w:styleId="GridTableLight">
    <w:name w:val="Grid Table Light"/>
    <w:basedOn w:val="a2"/>
    <w:uiPriority w:val="40"/>
    <w:rsid w:val="00BA05C5"/>
    <w:pPr>
      <w:spacing w:after="0" w:line="240" w:lineRule="auto"/>
    </w:pPr>
    <w:rPr>
      <w:rFonts w:eastAsiaTheme="minorEastAsia"/>
      <w:lang w:val="en-GB" w:eastAsia="zh-CN"/>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0">
    <w:name w:val="No Spacing"/>
    <w:uiPriority w:val="1"/>
    <w:qFormat/>
    <w:rsid w:val="009558D8"/>
    <w:pPr>
      <w:spacing w:after="0" w:line="240" w:lineRule="auto"/>
      <w:jc w:val="both"/>
    </w:pPr>
    <w:rPr>
      <w:rFonts w:ascii="Times New Roman" w:hAnsi="Times New Roman"/>
      <w:sz w:val="24"/>
    </w:rPr>
  </w:style>
  <w:style w:type="table" w:customStyle="1" w:styleId="11">
    <w:name w:val="Сетка таблицы1"/>
    <w:basedOn w:val="a2"/>
    <w:next w:val="ab"/>
    <w:uiPriority w:val="59"/>
    <w:rsid w:val="00F035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b"/>
    <w:uiPriority w:val="59"/>
    <w:rsid w:val="007C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b"/>
    <w:uiPriority w:val="59"/>
    <w:rsid w:val="00EF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b"/>
    <w:uiPriority w:val="59"/>
    <w:rsid w:val="00110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A7053F"/>
    <w:rPr>
      <w:rFonts w:ascii="Calibri" w:hAnsi="Calibri" w:cs="Calibri" w:hint="default"/>
      <w:b w:val="0"/>
      <w:bCs w:val="0"/>
      <w:i w:val="0"/>
      <w:iCs w:val="0"/>
      <w:color w:val="4A4A4A"/>
      <w:sz w:val="20"/>
      <w:szCs w:val="20"/>
    </w:rPr>
  </w:style>
  <w:style w:type="character" w:customStyle="1" w:styleId="tlid-translation">
    <w:name w:val="tlid-translation"/>
    <w:basedOn w:val="a1"/>
    <w:rsid w:val="00935B97"/>
  </w:style>
  <w:style w:type="character" w:customStyle="1" w:styleId="gt-baf-cell">
    <w:name w:val="gt-baf-cell"/>
    <w:basedOn w:val="a1"/>
    <w:rsid w:val="006C10F0"/>
  </w:style>
  <w:style w:type="table" w:styleId="1-1">
    <w:name w:val="Medium Shading 1 Accent 1"/>
    <w:basedOn w:val="a2"/>
    <w:uiPriority w:val="63"/>
    <w:rsid w:val="00AF3B1B"/>
    <w:pPr>
      <w:spacing w:after="0" w:line="240" w:lineRule="auto"/>
    </w:pPr>
    <w:rPr>
      <w:rFonts w:eastAsiaTheme="minorEastAsia"/>
      <w:lang w:val="en-GB" w:eastAsia="zh-C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5">
    <w:name w:val="Сетка таблицы5"/>
    <w:basedOn w:val="a2"/>
    <w:next w:val="ab"/>
    <w:uiPriority w:val="59"/>
    <w:rsid w:val="004F3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1"/>
    <w:rsid w:val="0083636B"/>
  </w:style>
  <w:style w:type="character" w:customStyle="1" w:styleId="eop">
    <w:name w:val="eop"/>
    <w:basedOn w:val="a1"/>
    <w:rsid w:val="0083636B"/>
  </w:style>
  <w:style w:type="paragraph" w:styleId="afc">
    <w:name w:val="Bibliography"/>
    <w:basedOn w:val="a"/>
    <w:next w:val="a"/>
    <w:uiPriority w:val="37"/>
    <w:unhideWhenUsed/>
    <w:rsid w:val="0083636B"/>
    <w:pPr>
      <w:spacing w:after="200"/>
      <w:jc w:val="left"/>
    </w:pPr>
    <w:rPr>
      <w:rFonts w:asciiTheme="minorHAnsi" w:eastAsiaTheme="minorEastAsia" w:hAnsiTheme="minorHAnsi"/>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8214">
      <w:bodyDiv w:val="1"/>
      <w:marLeft w:val="0"/>
      <w:marRight w:val="0"/>
      <w:marTop w:val="0"/>
      <w:marBottom w:val="0"/>
      <w:divBdr>
        <w:top w:val="none" w:sz="0" w:space="0" w:color="auto"/>
        <w:left w:val="none" w:sz="0" w:space="0" w:color="auto"/>
        <w:bottom w:val="none" w:sz="0" w:space="0" w:color="auto"/>
        <w:right w:val="none" w:sz="0" w:space="0" w:color="auto"/>
      </w:divBdr>
    </w:div>
    <w:div w:id="597494290">
      <w:bodyDiv w:val="1"/>
      <w:marLeft w:val="0"/>
      <w:marRight w:val="0"/>
      <w:marTop w:val="0"/>
      <w:marBottom w:val="0"/>
      <w:divBdr>
        <w:top w:val="none" w:sz="0" w:space="0" w:color="auto"/>
        <w:left w:val="none" w:sz="0" w:space="0" w:color="auto"/>
        <w:bottom w:val="none" w:sz="0" w:space="0" w:color="auto"/>
        <w:right w:val="none" w:sz="0" w:space="0" w:color="auto"/>
      </w:divBdr>
    </w:div>
    <w:div w:id="636960027">
      <w:bodyDiv w:val="1"/>
      <w:marLeft w:val="0"/>
      <w:marRight w:val="0"/>
      <w:marTop w:val="0"/>
      <w:marBottom w:val="0"/>
      <w:divBdr>
        <w:top w:val="none" w:sz="0" w:space="0" w:color="auto"/>
        <w:left w:val="none" w:sz="0" w:space="0" w:color="auto"/>
        <w:bottom w:val="none" w:sz="0" w:space="0" w:color="auto"/>
        <w:right w:val="none" w:sz="0" w:space="0" w:color="auto"/>
      </w:divBdr>
    </w:div>
    <w:div w:id="722172263">
      <w:bodyDiv w:val="1"/>
      <w:marLeft w:val="0"/>
      <w:marRight w:val="0"/>
      <w:marTop w:val="0"/>
      <w:marBottom w:val="0"/>
      <w:divBdr>
        <w:top w:val="none" w:sz="0" w:space="0" w:color="auto"/>
        <w:left w:val="none" w:sz="0" w:space="0" w:color="auto"/>
        <w:bottom w:val="none" w:sz="0" w:space="0" w:color="auto"/>
        <w:right w:val="none" w:sz="0" w:space="0" w:color="auto"/>
      </w:divBdr>
    </w:div>
    <w:div w:id="1035697624">
      <w:bodyDiv w:val="1"/>
      <w:marLeft w:val="0"/>
      <w:marRight w:val="0"/>
      <w:marTop w:val="0"/>
      <w:marBottom w:val="0"/>
      <w:divBdr>
        <w:top w:val="none" w:sz="0" w:space="0" w:color="auto"/>
        <w:left w:val="none" w:sz="0" w:space="0" w:color="auto"/>
        <w:bottom w:val="none" w:sz="0" w:space="0" w:color="auto"/>
        <w:right w:val="none" w:sz="0" w:space="0" w:color="auto"/>
      </w:divBdr>
    </w:div>
    <w:div w:id="1216744541">
      <w:bodyDiv w:val="1"/>
      <w:marLeft w:val="0"/>
      <w:marRight w:val="0"/>
      <w:marTop w:val="0"/>
      <w:marBottom w:val="0"/>
      <w:divBdr>
        <w:top w:val="none" w:sz="0" w:space="0" w:color="auto"/>
        <w:left w:val="none" w:sz="0" w:space="0" w:color="auto"/>
        <w:bottom w:val="none" w:sz="0" w:space="0" w:color="auto"/>
        <w:right w:val="none" w:sz="0" w:space="0" w:color="auto"/>
      </w:divBdr>
    </w:div>
    <w:div w:id="1351448057">
      <w:bodyDiv w:val="1"/>
      <w:marLeft w:val="0"/>
      <w:marRight w:val="0"/>
      <w:marTop w:val="0"/>
      <w:marBottom w:val="0"/>
      <w:divBdr>
        <w:top w:val="none" w:sz="0" w:space="0" w:color="auto"/>
        <w:left w:val="none" w:sz="0" w:space="0" w:color="auto"/>
        <w:bottom w:val="none" w:sz="0" w:space="0" w:color="auto"/>
        <w:right w:val="none" w:sz="0" w:space="0" w:color="auto"/>
      </w:divBdr>
    </w:div>
    <w:div w:id="1741558082">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maps.elie.ucl.ac.be/CCI/viewer/download/ESACCI-LC-Ph2-PUGv2_2.0.pdf" TargetMode="External"/><Relationship Id="rId4" Type="http://schemas.microsoft.com/office/2007/relationships/stylesWithEffects" Target="stylesWithEffects.xml"/><Relationship Id="rId9" Type="http://schemas.openxmlformats.org/officeDocument/2006/relationships/hyperlink" Target="https://www.unsalb.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Kör11</b:Tag>
    <b:SourceType>JournalArticle</b:SourceType>
    <b:Guid>{2FBE688F-9A5F-4F08-AA0E-847160B4AB4C}</b:Guid>
    <b:Title>A definition of mountains and their bioclimatic belts for global comparisons of biodiversity data</b:Title>
    <b:Year>2011</b:Year>
    <b:JournalName>Alpine Botany</b:JournalName>
    <b:Pages>73-78</b:Pages>
    <b:Author>
      <b:Author>
        <b:NameList>
          <b:Person>
            <b:Last>Körner</b:Last>
            <b:First>C</b:First>
          </b:Person>
          <b:Person>
            <b:Last>Paulsen</b:Last>
            <b:First>J</b:First>
          </b:Person>
          <b:Person>
            <b:Last>Spehn</b:Last>
            <b:First>E</b:First>
          </b:Person>
        </b:NameList>
      </b:Author>
    </b:Author>
    <b:Volume>121</b:Volume>
    <b:RefOrder>1</b:RefOrder>
  </b:Source>
  <b:Source>
    <b:Tag>Kar17</b:Tag>
    <b:SourceType>JournalArticle</b:SourceType>
    <b:Guid>{7F94D59D-5175-4E7D-8F19-C328D6CF294C}</b:Guid>
    <b:Title>Modeling global Hammond landform regions from 250-m elevation data</b:Title>
    <b:JournalName>Transactions in GIS</b:JournalName>
    <b:Year>2017</b:Year>
    <b:Author>
      <b:Author>
        <b:NameList>
          <b:Person>
            <b:Last>Karagulle</b:Last>
            <b:First>D</b:First>
          </b:Person>
          <b:Person>
            <b:Last>Frye</b:Last>
            <b:First>C</b:First>
          </b:Person>
          <b:Person>
            <b:Last>Breyer</b:Last>
            <b:First>S</b:First>
          </b:Person>
          <b:Person>
            <b:Last>Aniello</b:Last>
            <b:First>P</b:First>
          </b:Person>
          <b:Person>
            <b:Last>Vaughan</b:Last>
            <b:First>R</b:First>
          </b:Person>
          <b:Person>
            <b:Last>Wright</b:Last>
            <b:First>D</b:First>
          </b:Person>
        </b:NameList>
      </b:Author>
    </b:Author>
    <b:DOI>10.1111/tgis.12265</b:DOI>
    <b:RefOrder>2</b:RefOrder>
  </b:Source>
  <b:Source>
    <b:Tag>Kap00</b:Tag>
    <b:SourceType>BookSection</b:SourceType>
    <b:Guid>{0E82D813-1613-4646-8646-F951054E0ADE}</b:Guid>
    <b:Title>Developing a map of the world’s mountain forests</b:Title>
    <b:BookTitle>Forests in Sustainable Mountain Development: A State-of-Knowledge Report for 2000</b:BookTitle>
    <b:Year>2000</b:Year>
    <b:Pages>4-9</b:Pages>
    <b:City>Wallingford</b:City>
    <b:Publisher>CAB International</b:Publisher>
    <b:Author>
      <b:Author>
        <b:NameList>
          <b:Person>
            <b:Last>Kapos</b:Last>
            <b:First>V</b:First>
          </b:Person>
          <b:Person>
            <b:Last>Rhind</b:Last>
            <b:First>J</b:First>
          </b:Person>
          <b:Person>
            <b:Last>Edwards</b:Last>
            <b:First>M</b:First>
          </b:Person>
          <b:Person>
            <b:Last>Prince</b:Last>
            <b:First>M</b:First>
          </b:Person>
          <b:Person>
            <b:Last>Ravillous</b:Last>
            <b:First>C</b:First>
          </b:Person>
        </b:NameList>
      </b:Author>
      <b:Editor>
        <b:NameList>
          <b:Person>
            <b:Last>Price </b:Last>
            <b:Middle>F</b:Middle>
            <b:First>M</b:First>
          </b:Person>
          <b:Person>
            <b:Last>Butt</b:Last>
            <b:First>N</b:First>
          </b:Person>
        </b:NameList>
      </b:Editor>
    </b:Author>
    <b:RefOrder>3</b:RefOrder>
  </b:Source>
  <b:Source>
    <b:Tag>San15</b:Tag>
    <b:SourceType>Report</b:SourceType>
    <b:Guid>{639A3C4F-6C15-4A31-9560-CC7D7EB0506C}</b:Guid>
    <b:Title>Land Cover CCI PRODUCT USER GUIDE VERSION 2.0</b:Title>
    <b:Year>2015</b:Year>
    <b:URL>http://maps.elie.ucl.ac.be/CCI/viewer/download/ESACCI-LC-Ph2-PUGv2_2.0.pdf</b:URL>
    <b:Publisher>European Spatial Agency</b:Publisher>
    <b:Author>
      <b:Author>
        <b:NameList>
          <b:Person>
            <b:Last>Santoro</b:Last>
            <b:First>M.</b:First>
          </b:Person>
          <b:Person>
            <b:Last>Kirches</b:Last>
            <b:First>G.</b:First>
          </b:Person>
          <b:Person>
            <b:Last>Wevers</b:Last>
            <b:First>J.</b:First>
          </b:Person>
          <b:Person>
            <b:Last>Boettcher</b:Last>
            <b:First>M.</b:First>
          </b:Person>
          <b:Person>
            <b:Last>Brockmann</b:Last>
            <b:First>C.</b:First>
          </b:Person>
          <b:Person>
            <b:Last>Lamarche</b:Last>
            <b:First>C.</b:First>
          </b:Person>
          <b:Person>
            <b:Last>Bontemps</b:Last>
            <b:First>S.</b:First>
          </b:Person>
          <b:Person>
            <b:Last>Moreau</b:Last>
            <b:First>I.</b:First>
          </b:Person>
          <b:Person>
            <b:Last>Defourny</b:Last>
            <b:First>P.</b:First>
          </b:Person>
        </b:NameList>
      </b:Author>
    </b:Author>
    <b:Institution>European Spatial Agency</b:Institution>
    <b:Pages>26-27</b:Pages>
    <b:ThesisType>USER GUIDE</b:ThesisType>
    <b:RefOrder>5</b:RefOrder>
  </b:Source>
  <b:Source>
    <b:Tag>Eur191</b:Tag>
    <b:SourceType>InternetSite</b:SourceType>
    <b:Guid>{13C10E66-0D3F-4FEC-BA42-2A47076ED030}</b:Guid>
    <b:Author>
      <b:Author>
        <b:Corporate>Eurostats</b:Corporate>
      </b:Author>
    </b:Author>
    <b:Title>LUCAS Grid</b:Title>
    <b:InternetSiteTitle>Eurostat Your Key to European statistcs</b:InternetSiteTitle>
    <b:Year>2019</b:Year>
    <b:URL>https://ec.europa.eu/eurostat/web/lucas/data/lucas-grid</b:URL>
    <b:RefOrder>4</b:RefOrder>
  </b:Source>
</b:Sources>
</file>

<file path=customXml/itemProps1.xml><?xml version="1.0" encoding="utf-8"?>
<ds:datastoreItem xmlns:ds="http://schemas.openxmlformats.org/officeDocument/2006/customXml" ds:itemID="{FEE221BF-7115-4DF7-980E-99230A4A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2497</Words>
  <Characters>14237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15</cp:revision>
  <dcterms:created xsi:type="dcterms:W3CDTF">2021-08-20T10:15:00Z</dcterms:created>
  <dcterms:modified xsi:type="dcterms:W3CDTF">2021-08-24T15:08:00Z</dcterms:modified>
</cp:coreProperties>
</file>