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85" w:rsidRPr="005A190D" w:rsidRDefault="00C24D4F" w:rsidP="0062083D">
      <w:pPr>
        <w:spacing w:before="240" w:after="60"/>
        <w:ind w:left="482" w:hanging="482"/>
      </w:pPr>
      <w:r>
        <w:rPr>
          <w:rFonts w:ascii="Arial" w:hAnsi="Arial" w:cs="Arial"/>
          <w:b/>
          <w:sz w:val="16"/>
        </w:rPr>
        <w:t>14.</w:t>
      </w:r>
      <w:r w:rsidR="00B26D85" w:rsidRPr="005A190D">
        <w:rPr>
          <w:rFonts w:ascii="Arial" w:hAnsi="Arial" w:cs="Arial"/>
          <w:b/>
          <w:sz w:val="16"/>
        </w:rPr>
        <w:t>2. ОСНОВНЫЕ ФОНДЫ ПО ФОРМАМ СОБСТВЕННОСТИ</w:t>
      </w:r>
      <w:r w:rsidR="00B26D85" w:rsidRPr="005A190D">
        <w:rPr>
          <w:rFonts w:ascii="Arial" w:hAnsi="Arial" w:cs="Arial"/>
          <w:b/>
          <w:sz w:val="16"/>
        </w:rPr>
        <w:br/>
      </w:r>
      <w:r w:rsidR="00B26D85" w:rsidRPr="005A190D">
        <w:rPr>
          <w:rFonts w:ascii="Arial" w:hAnsi="Arial" w:cs="Arial"/>
          <w:sz w:val="14"/>
        </w:rPr>
        <w:t>на конец года; по полной учетной стоимости</w:t>
      </w:r>
    </w:p>
    <w:p w:rsidR="00500966" w:rsidRPr="005A190D" w:rsidRDefault="00500966" w:rsidP="0062083D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</w:tabs>
        <w:spacing w:after="60"/>
        <w:ind w:left="454"/>
        <w:rPr>
          <w:sz w:val="14"/>
          <w:szCs w:val="14"/>
          <w:lang w:val="en-US"/>
        </w:rPr>
      </w:pPr>
      <w:r w:rsidRPr="005A190D">
        <w:rPr>
          <w:rFonts w:ascii="Arial" w:hAnsi="Arial" w:cs="Arial"/>
          <w:b/>
          <w:i/>
          <w:sz w:val="16"/>
          <w:lang w:val="en-US"/>
        </w:rPr>
        <w:t>FIXED ASSETS BY OWNERSHIP</w:t>
      </w:r>
      <w:r w:rsidRPr="005A190D">
        <w:rPr>
          <w:lang w:val="en-US"/>
        </w:rPr>
        <w:t xml:space="preserve"> </w:t>
      </w:r>
      <w:r w:rsidRPr="005A190D">
        <w:rPr>
          <w:rFonts w:ascii="Arial" w:hAnsi="Arial" w:cs="Arial"/>
          <w:b/>
          <w:i/>
          <w:sz w:val="16"/>
          <w:lang w:val="en-US"/>
        </w:rPr>
        <w:t xml:space="preserve">TYPE </w:t>
      </w:r>
      <w:r w:rsidRPr="005A190D">
        <w:rPr>
          <w:rFonts w:ascii="Arial" w:hAnsi="Arial" w:cs="Arial"/>
          <w:b/>
          <w:i/>
          <w:sz w:val="16"/>
          <w:lang w:val="en-US"/>
        </w:rPr>
        <w:br/>
      </w:r>
      <w:r w:rsidRPr="005A190D">
        <w:rPr>
          <w:rFonts w:ascii="Arial" w:hAnsi="Arial" w:cs="Arial"/>
          <w:i/>
          <w:sz w:val="14"/>
          <w:szCs w:val="14"/>
          <w:lang w:val="en-US"/>
        </w:rPr>
        <w:t>end of year; at total book value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1253"/>
        <w:gridCol w:w="1254"/>
        <w:gridCol w:w="1253"/>
        <w:gridCol w:w="1254"/>
        <w:gridCol w:w="1253"/>
        <w:gridCol w:w="1254"/>
      </w:tblGrid>
      <w:tr w:rsidR="005A190D" w:rsidRPr="005A190D">
        <w:trPr>
          <w:cantSplit/>
        </w:trPr>
        <w:tc>
          <w:tcPr>
            <w:tcW w:w="240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pacing w:before="40" w:after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Годы</w:t>
            </w:r>
          </w:p>
          <w:p w:rsidR="00B26D85" w:rsidRPr="005A190D" w:rsidRDefault="00B26D85" w:rsidP="0005640D">
            <w:pPr>
              <w:spacing w:before="20" w:line="120" w:lineRule="exact"/>
              <w:ind w:left="57" w:right="2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Year</w:t>
            </w:r>
            <w:proofErr w:type="spellEnd"/>
          </w:p>
        </w:tc>
        <w:tc>
          <w:tcPr>
            <w:tcW w:w="3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A35CC9" w:rsidP="0005640D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Млн</w:t>
            </w:r>
            <w:r w:rsidR="00B26D85" w:rsidRPr="005A190D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B26D85" w:rsidRPr="005A190D">
              <w:rPr>
                <w:rFonts w:ascii="Arial" w:hAnsi="Arial" w:cs="Arial"/>
                <w:sz w:val="12"/>
                <w:szCs w:val="12"/>
              </w:rPr>
              <w:t>руб</w:t>
            </w:r>
            <w:proofErr w:type="spellEnd"/>
            <w:r w:rsidR="00B26D85" w:rsidRPr="005A190D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  <w:p w:rsidR="00B26D85" w:rsidRPr="005A190D" w:rsidRDefault="00B26D85" w:rsidP="0005640D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Mln</w:t>
            </w:r>
            <w:proofErr w:type="spellEnd"/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roubles</w:t>
            </w:r>
            <w:proofErr w:type="spellEnd"/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3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В процентах к итогу</w:t>
            </w:r>
          </w:p>
          <w:p w:rsidR="00B26D85" w:rsidRPr="005A190D" w:rsidRDefault="00B26D85" w:rsidP="0005640D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Percent</w:t>
            </w:r>
            <w:proofErr w:type="spellEnd"/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of</w:t>
            </w:r>
            <w:proofErr w:type="spellEnd"/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total</w:t>
            </w:r>
            <w:proofErr w:type="spellEnd"/>
          </w:p>
        </w:tc>
      </w:tr>
      <w:tr w:rsidR="005A190D" w:rsidRPr="005A190D">
        <w:trPr>
          <w:cantSplit/>
        </w:trPr>
        <w:tc>
          <w:tcPr>
            <w:tcW w:w="240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napToGrid w:val="0"/>
              <w:spacing w:before="20" w:after="20" w:line="120" w:lineRule="exact"/>
              <w:ind w:left="57" w:right="28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 xml:space="preserve">все основные </w:t>
            </w:r>
            <w:r w:rsidRPr="005A190D">
              <w:rPr>
                <w:rFonts w:ascii="Arial" w:hAnsi="Arial" w:cs="Arial"/>
                <w:sz w:val="12"/>
                <w:szCs w:val="12"/>
              </w:rPr>
              <w:br/>
              <w:t xml:space="preserve">фонды </w:t>
            </w:r>
          </w:p>
          <w:p w:rsidR="00B26D85" w:rsidRPr="005A190D" w:rsidRDefault="00B26D85" w:rsidP="0005640D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all</w:t>
            </w:r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fixed</w:t>
            </w:r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assets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5A190D">
              <w:rPr>
                <w:rFonts w:ascii="Arial" w:hAnsi="Arial" w:cs="Arial"/>
                <w:sz w:val="12"/>
                <w:szCs w:val="12"/>
              </w:rPr>
              <w:br/>
              <w:t>по формам собственности</w:t>
            </w:r>
          </w:p>
          <w:p w:rsidR="00B26D85" w:rsidRPr="005A190D" w:rsidRDefault="00B26D85" w:rsidP="0005640D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GB"/>
              </w:rPr>
              <w:t>including</w:t>
            </w: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by ownership type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 xml:space="preserve">все основные </w:t>
            </w:r>
            <w:r w:rsidRPr="005A190D">
              <w:rPr>
                <w:rFonts w:ascii="Arial" w:hAnsi="Arial" w:cs="Arial"/>
                <w:sz w:val="12"/>
                <w:szCs w:val="12"/>
              </w:rPr>
              <w:br/>
              <w:t xml:space="preserve">фонды </w:t>
            </w:r>
          </w:p>
          <w:p w:rsidR="00B26D85" w:rsidRPr="005A190D" w:rsidRDefault="00B26D85" w:rsidP="0005640D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all</w:t>
            </w:r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fixed</w:t>
            </w:r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assets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5A190D">
              <w:rPr>
                <w:rFonts w:ascii="Arial" w:hAnsi="Arial" w:cs="Arial"/>
                <w:sz w:val="12"/>
                <w:szCs w:val="12"/>
              </w:rPr>
              <w:br/>
              <w:t>по формам собственности</w:t>
            </w:r>
          </w:p>
          <w:p w:rsidR="00B26D85" w:rsidRPr="005A190D" w:rsidRDefault="00B26D85" w:rsidP="0005640D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including by ownership type</w:t>
            </w:r>
          </w:p>
        </w:tc>
      </w:tr>
      <w:tr w:rsidR="005A190D" w:rsidRPr="005A190D">
        <w:trPr>
          <w:cantSplit/>
        </w:trPr>
        <w:tc>
          <w:tcPr>
            <w:tcW w:w="240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napToGrid w:val="0"/>
              <w:spacing w:before="20" w:after="20" w:line="120" w:lineRule="exact"/>
              <w:ind w:left="57" w:right="28"/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12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napToGrid w:val="0"/>
              <w:spacing w:before="20"/>
              <w:ind w:left="57" w:right="28"/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12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государственная</w:t>
            </w:r>
          </w:p>
          <w:p w:rsidR="00B26D85" w:rsidRPr="005A190D" w:rsidRDefault="00B26D85" w:rsidP="0005640D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state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негосударственная</w:t>
            </w:r>
          </w:p>
          <w:p w:rsidR="00B26D85" w:rsidRPr="005A190D" w:rsidRDefault="00B26D85" w:rsidP="0005640D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not-state</w:t>
            </w:r>
          </w:p>
        </w:tc>
        <w:tc>
          <w:tcPr>
            <w:tcW w:w="12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napToGrid w:val="0"/>
              <w:spacing w:before="20"/>
              <w:ind w:left="57" w:right="28"/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государственная</w:t>
            </w:r>
          </w:p>
          <w:p w:rsidR="00B26D85" w:rsidRPr="005A190D" w:rsidRDefault="00B26D85" w:rsidP="0005640D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state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85" w:rsidRPr="005A190D" w:rsidRDefault="00B26D85" w:rsidP="0005640D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негосударственная</w:t>
            </w:r>
          </w:p>
          <w:p w:rsidR="00B26D85" w:rsidRPr="005A190D" w:rsidRDefault="00B26D85" w:rsidP="0005640D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not-state</w:t>
            </w:r>
          </w:p>
        </w:tc>
      </w:tr>
      <w:tr w:rsidR="005A190D" w:rsidRPr="005A190D">
        <w:trPr>
          <w:cantSplit/>
        </w:trPr>
        <w:tc>
          <w:tcPr>
            <w:tcW w:w="2402" w:type="dxa"/>
            <w:shd w:val="clear" w:color="auto" w:fill="auto"/>
            <w:vAlign w:val="bottom"/>
          </w:tcPr>
          <w:p w:rsidR="00B26D85" w:rsidRPr="005A190D" w:rsidRDefault="00B26D85" w:rsidP="0019214E">
            <w:pPr>
              <w:spacing w:before="60" w:line="140" w:lineRule="exact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6D85" w:rsidRPr="005A190D" w:rsidRDefault="00B26D85" w:rsidP="008F494A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464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172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6D85" w:rsidRPr="005A190D" w:rsidRDefault="00B26D85" w:rsidP="008F494A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366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043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6D85" w:rsidRPr="005A190D" w:rsidRDefault="00B26D85" w:rsidP="008F494A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098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="008F6D4D">
              <w:rPr>
                <w:rFonts w:ascii="Arial" w:hAnsi="Arial" w:cs="Arial"/>
                <w:sz w:val="14"/>
                <w:szCs w:val="14"/>
              </w:rPr>
              <w:t>1</w:t>
            </w: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6D85" w:rsidRPr="005A190D" w:rsidRDefault="00B26D85" w:rsidP="0019214E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6D85" w:rsidRPr="005A190D" w:rsidRDefault="00B26D85" w:rsidP="0019214E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</w:t>
            </w: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6D85" w:rsidRPr="005A190D" w:rsidRDefault="00B26D85" w:rsidP="0019214E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7</w:t>
            </w: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</w:tr>
      <w:tr w:rsidR="005A190D" w:rsidRPr="005A190D">
        <w:trPr>
          <w:cantSplit/>
        </w:trPr>
        <w:tc>
          <w:tcPr>
            <w:tcW w:w="2402" w:type="dxa"/>
            <w:shd w:val="clear" w:color="auto" w:fill="auto"/>
            <w:vAlign w:val="bottom"/>
          </w:tcPr>
          <w:p w:rsidR="00A27829" w:rsidRPr="005A190D" w:rsidRDefault="00A27829" w:rsidP="0019214E">
            <w:pPr>
              <w:spacing w:before="60" w:line="140" w:lineRule="exact"/>
              <w:ind w:left="113" w:right="57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2010</w:t>
            </w:r>
            <w:r w:rsidRPr="005A190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829" w:rsidRPr="005A190D" w:rsidRDefault="00A27829" w:rsidP="008F494A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93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185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829" w:rsidRPr="005A190D" w:rsidRDefault="00A27829" w:rsidP="008F494A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20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500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835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829" w:rsidRPr="005A190D" w:rsidRDefault="00A27829" w:rsidP="008F494A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72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684</w:t>
            </w:r>
            <w:r w:rsidR="0003770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777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829" w:rsidRPr="005A190D" w:rsidRDefault="00A27829" w:rsidP="0019214E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829" w:rsidRPr="005A190D" w:rsidRDefault="00A27829" w:rsidP="0019214E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829" w:rsidRPr="005A190D" w:rsidRDefault="00A27829" w:rsidP="0019214E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037706" w:rsidRPr="005A190D">
        <w:trPr>
          <w:cantSplit/>
        </w:trPr>
        <w:tc>
          <w:tcPr>
            <w:tcW w:w="2402" w:type="dxa"/>
            <w:shd w:val="clear" w:color="auto" w:fill="auto"/>
            <w:vAlign w:val="bottom"/>
          </w:tcPr>
          <w:p w:rsidR="00037706" w:rsidRPr="005A190D" w:rsidRDefault="00037706" w:rsidP="00037706">
            <w:pPr>
              <w:spacing w:before="60" w:line="140" w:lineRule="exact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7706" w:rsidRPr="005A190D" w:rsidRDefault="00037706" w:rsidP="00037706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940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7706" w:rsidRPr="005A190D" w:rsidRDefault="00037706" w:rsidP="00037706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48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554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7706" w:rsidRPr="005A190D" w:rsidRDefault="00037706" w:rsidP="00037706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162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385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A190D">
              <w:rPr>
                <w:rFonts w:ascii="Arial" w:hAnsi="Arial" w:cs="Arial"/>
                <w:sz w:val="14"/>
                <w:szCs w:val="14"/>
              </w:rPr>
              <w:t>705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7706" w:rsidRPr="005A190D" w:rsidRDefault="00037706" w:rsidP="00037706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7706" w:rsidRPr="005A190D" w:rsidRDefault="00037706" w:rsidP="00037706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7706" w:rsidRPr="005A190D" w:rsidRDefault="00037706" w:rsidP="00037706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037706" w:rsidRPr="005A190D" w:rsidTr="00037706">
        <w:trPr>
          <w:cantSplit/>
        </w:trPr>
        <w:tc>
          <w:tcPr>
            <w:tcW w:w="2402" w:type="dxa"/>
            <w:shd w:val="clear" w:color="auto" w:fill="auto"/>
            <w:vAlign w:val="center"/>
          </w:tcPr>
          <w:p w:rsidR="00037706" w:rsidRPr="005A190D" w:rsidRDefault="00037706" w:rsidP="00037706">
            <w:pPr>
              <w:spacing w:before="60" w:line="140" w:lineRule="exact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AD0DA0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  <w:r w:rsidRPr="00AD0DA0">
              <w:rPr>
                <w:rFonts w:ascii="Arial" w:hAnsi="Arial" w:cs="Arial"/>
                <w:color w:val="000000" w:themeColor="text1"/>
                <w:sz w:val="12"/>
                <w:szCs w:val="12"/>
                <w:vertAlign w:val="superscript"/>
              </w:rPr>
              <w:t>2)</w:t>
            </w:r>
            <w:r w:rsidRPr="00AD0DA0">
              <w:rPr>
                <w:rFonts w:ascii="Arial" w:hAnsi="Arial" w:cs="Arial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37706" w:rsidRPr="008F494A" w:rsidRDefault="00037706" w:rsidP="00037706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494A">
              <w:rPr>
                <w:rFonts w:ascii="Arial" w:hAnsi="Arial" w:cs="Arial"/>
                <w:sz w:val="14"/>
                <w:szCs w:val="14"/>
              </w:rPr>
              <w:t>349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F494A">
              <w:rPr>
                <w:rFonts w:ascii="Arial" w:hAnsi="Arial" w:cs="Arial"/>
                <w:sz w:val="14"/>
                <w:szCs w:val="14"/>
              </w:rPr>
              <w:t>731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F494A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37706" w:rsidRPr="008F494A" w:rsidRDefault="00037706" w:rsidP="00037706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494A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F494A">
              <w:rPr>
                <w:rFonts w:ascii="Arial" w:hAnsi="Arial" w:cs="Arial"/>
                <w:sz w:val="14"/>
                <w:szCs w:val="14"/>
              </w:rPr>
              <w:t>747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F494A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37706" w:rsidRPr="008F494A" w:rsidRDefault="00037706" w:rsidP="00037706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494A">
              <w:rPr>
                <w:rFonts w:ascii="Arial" w:hAnsi="Arial" w:cs="Arial"/>
                <w:sz w:val="14"/>
                <w:szCs w:val="14"/>
              </w:rPr>
              <w:t>296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F494A">
              <w:rPr>
                <w:rFonts w:ascii="Arial" w:hAnsi="Arial" w:cs="Arial"/>
                <w:sz w:val="14"/>
                <w:szCs w:val="14"/>
              </w:rPr>
              <w:t>983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F494A">
              <w:rPr>
                <w:rFonts w:ascii="Arial" w:hAnsi="Arial" w:cs="Arial"/>
                <w:sz w:val="14"/>
                <w:szCs w:val="14"/>
              </w:rPr>
              <w:t>883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37706" w:rsidRPr="00AD0DA0" w:rsidRDefault="00037706" w:rsidP="00037706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D0DA0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37706" w:rsidRPr="00AD0DA0" w:rsidRDefault="00037706" w:rsidP="00037706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D0DA0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37706" w:rsidRPr="00AD0DA0" w:rsidRDefault="00037706" w:rsidP="00037706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D0DA0">
              <w:rPr>
                <w:rFonts w:ascii="Arial" w:hAnsi="Arial" w:cs="Arial"/>
                <w:color w:val="000000" w:themeColor="text1"/>
                <w:sz w:val="14"/>
                <w:szCs w:val="14"/>
              </w:rPr>
              <w:t>85</w:t>
            </w:r>
          </w:p>
        </w:tc>
      </w:tr>
      <w:tr w:rsidR="00C53908" w:rsidRPr="005A190D" w:rsidTr="00AD0DA0">
        <w:trPr>
          <w:cantSplit/>
        </w:trPr>
        <w:tc>
          <w:tcPr>
            <w:tcW w:w="2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3908" w:rsidRPr="00037706" w:rsidRDefault="00C53908" w:rsidP="0019214E">
            <w:pPr>
              <w:spacing w:before="60" w:line="140" w:lineRule="exact"/>
              <w:ind w:left="113" w:right="57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908" w:rsidRPr="00C53908" w:rsidRDefault="00C53908" w:rsidP="00C53908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908">
              <w:rPr>
                <w:rFonts w:ascii="Arial" w:hAnsi="Arial" w:cs="Arial"/>
                <w:sz w:val="14"/>
                <w:szCs w:val="14"/>
              </w:rPr>
              <w:t>3</w:t>
            </w:r>
            <w:r w:rsidRPr="00C53908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="008F6D4D">
              <w:rPr>
                <w:rFonts w:ascii="Arial" w:hAnsi="Arial" w:cs="Arial"/>
                <w:sz w:val="14"/>
                <w:szCs w:val="14"/>
              </w:rPr>
              <w:t>2</w:t>
            </w:r>
            <w:r w:rsidRPr="00C5390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="008F6D4D">
              <w:rPr>
                <w:rFonts w:ascii="Arial" w:hAnsi="Arial" w:cs="Arial"/>
                <w:sz w:val="14"/>
                <w:szCs w:val="14"/>
              </w:rPr>
              <w:t>191</w:t>
            </w:r>
            <w:r w:rsidRPr="00C5390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="008F6D4D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12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908" w:rsidRPr="00C53908" w:rsidRDefault="00C53908" w:rsidP="00C53908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908">
              <w:rPr>
                <w:rFonts w:ascii="Arial" w:hAnsi="Arial" w:cs="Arial"/>
                <w:sz w:val="14"/>
                <w:szCs w:val="14"/>
              </w:rPr>
              <w:t>5</w:t>
            </w:r>
            <w:r w:rsidRPr="00C53908">
              <w:rPr>
                <w:rFonts w:ascii="Arial" w:hAnsi="Arial" w:cs="Arial"/>
                <w:sz w:val="14"/>
                <w:szCs w:val="14"/>
                <w:lang w:val="en-US"/>
              </w:rPr>
              <w:t>6 585 631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908" w:rsidRPr="00C53908" w:rsidRDefault="00C53908" w:rsidP="00C53908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908">
              <w:rPr>
                <w:rFonts w:ascii="Arial" w:hAnsi="Arial" w:cs="Arial"/>
                <w:sz w:val="14"/>
                <w:szCs w:val="14"/>
              </w:rPr>
              <w:t>305</w:t>
            </w:r>
            <w:r w:rsidRPr="00C5390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="008F6D4D">
              <w:rPr>
                <w:rFonts w:ascii="Arial" w:hAnsi="Arial" w:cs="Arial"/>
                <w:sz w:val="14"/>
                <w:szCs w:val="14"/>
              </w:rPr>
              <w:t>606</w:t>
            </w:r>
            <w:r w:rsidRPr="00C5390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="008F6D4D">
              <w:rPr>
                <w:rFonts w:ascii="Arial" w:hAnsi="Arial" w:cs="Arial"/>
                <w:sz w:val="14"/>
                <w:szCs w:val="14"/>
              </w:rPr>
              <w:t>019</w:t>
            </w:r>
          </w:p>
        </w:tc>
        <w:tc>
          <w:tcPr>
            <w:tcW w:w="12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908" w:rsidRPr="00C53908" w:rsidRDefault="00C53908" w:rsidP="00C5390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3908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908" w:rsidRPr="00C53908" w:rsidRDefault="00C53908" w:rsidP="00C5390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3908">
              <w:rPr>
                <w:rFonts w:ascii="Arial" w:hAnsi="Arial" w:cs="Arial"/>
                <w:sz w:val="14"/>
                <w:szCs w:val="14"/>
              </w:rPr>
              <w:t>1</w:t>
            </w:r>
            <w:r w:rsidRPr="00C53908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2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908" w:rsidRPr="00C53908" w:rsidRDefault="00C53908" w:rsidP="00C5390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53908">
              <w:rPr>
                <w:rFonts w:ascii="Arial" w:hAnsi="Arial" w:cs="Arial"/>
                <w:sz w:val="14"/>
                <w:szCs w:val="14"/>
              </w:rPr>
              <w:t>8</w:t>
            </w:r>
            <w:r w:rsidRPr="00C53908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</w:tbl>
    <w:p w:rsidR="00AD0DA0" w:rsidRPr="000B7948" w:rsidRDefault="00A27829" w:rsidP="00AD0DA0">
      <w:pPr>
        <w:pStyle w:val="1f0"/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5A190D">
        <w:rPr>
          <w:rFonts w:ascii="Arial" w:hAnsi="Arial" w:cs="Arial"/>
          <w:sz w:val="12"/>
          <w:szCs w:val="12"/>
          <w:vertAlign w:val="superscript"/>
        </w:rPr>
        <w:t>1</w:t>
      </w:r>
      <w:r w:rsidR="00AD0DA0" w:rsidRPr="005A190D">
        <w:rPr>
          <w:rFonts w:ascii="Arial" w:hAnsi="Arial" w:cs="Arial"/>
          <w:sz w:val="12"/>
          <w:szCs w:val="12"/>
          <w:vertAlign w:val="superscript"/>
        </w:rPr>
        <w:t>)</w:t>
      </w:r>
      <w:r w:rsidR="00AD0DA0" w:rsidRPr="005A190D">
        <w:rPr>
          <w:rFonts w:ascii="Arial" w:hAnsi="Arial" w:cs="Arial"/>
          <w:sz w:val="12"/>
          <w:szCs w:val="12"/>
        </w:rPr>
        <w:t xml:space="preserve"> Начиная с </w:t>
      </w:r>
      <w:smartTag w:uri="urn:schemas-microsoft-com:office:smarttags" w:element="metricconverter">
        <w:smartTagPr>
          <w:attr w:name="ProductID" w:val="2010 г"/>
        </w:smartTagPr>
        <w:r w:rsidR="00AD0DA0" w:rsidRPr="005A190D">
          <w:rPr>
            <w:rFonts w:ascii="Arial" w:hAnsi="Arial" w:cs="Arial"/>
            <w:sz w:val="12"/>
            <w:szCs w:val="12"/>
          </w:rPr>
          <w:t>2010 г</w:t>
        </w:r>
      </w:smartTag>
      <w:r w:rsidR="00AD0DA0" w:rsidRPr="005A190D">
        <w:rPr>
          <w:rFonts w:ascii="Arial" w:hAnsi="Arial" w:cs="Arial"/>
          <w:sz w:val="12"/>
          <w:szCs w:val="12"/>
        </w:rPr>
        <w:t xml:space="preserve">. данные уточнены, расчеты проведены по полному кругу организаций с учетом основных фондов Банка России и основных фондов, находящихся </w:t>
      </w:r>
      <w:r w:rsidR="00AD0DA0" w:rsidRPr="005A190D">
        <w:rPr>
          <w:rFonts w:ascii="Arial" w:hAnsi="Arial" w:cs="Arial"/>
          <w:sz w:val="12"/>
          <w:szCs w:val="12"/>
        </w:rPr>
        <w:br/>
        <w:t>в государственной казне.</w:t>
      </w:r>
    </w:p>
    <w:p w:rsidR="00AD0DA0" w:rsidRPr="00945784" w:rsidRDefault="00AD0DA0" w:rsidP="00AD0DA0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945784">
        <w:rPr>
          <w:rFonts w:ascii="Arial" w:hAnsi="Arial" w:cs="Arial"/>
          <w:sz w:val="12"/>
          <w:szCs w:val="12"/>
          <w:vertAlign w:val="superscript"/>
        </w:rPr>
        <w:t>2)</w:t>
      </w:r>
      <w:r w:rsidRPr="00945784">
        <w:rPr>
          <w:rFonts w:ascii="Arial" w:hAnsi="Arial" w:cs="Arial"/>
          <w:sz w:val="12"/>
          <w:szCs w:val="12"/>
        </w:rPr>
        <w:t xml:space="preserve"> С 2019 года расчет стоимости жилищного фонда и хозяйственных строений в собственности домашних хозяйств, относящихся к частной собственности, осуществляется </w:t>
      </w:r>
      <w:r w:rsidRPr="00945784">
        <w:rPr>
          <w:rFonts w:ascii="Arial" w:hAnsi="Arial" w:cs="Arial"/>
          <w:sz w:val="12"/>
          <w:szCs w:val="12"/>
        </w:rPr>
        <w:br/>
        <w:t>по кадастровой стоимости.</w:t>
      </w:r>
    </w:p>
    <w:p w:rsidR="00AD0DA0" w:rsidRPr="00945784" w:rsidRDefault="00AD0DA0" w:rsidP="003F085E">
      <w:pPr>
        <w:pStyle w:val="1f0"/>
        <w:spacing w:before="60"/>
        <w:ind w:left="113" w:hanging="113"/>
        <w:jc w:val="both"/>
        <w:rPr>
          <w:rFonts w:ascii="Arial" w:hAnsi="Arial" w:cs="Arial"/>
          <w:i/>
          <w:sz w:val="12"/>
          <w:szCs w:val="12"/>
          <w:lang w:val="en"/>
        </w:rPr>
      </w:pPr>
      <w:r w:rsidRPr="00945784">
        <w:rPr>
          <w:rFonts w:ascii="Arial" w:hAnsi="Arial" w:cs="Arial"/>
          <w:i/>
          <w:sz w:val="12"/>
          <w:szCs w:val="12"/>
          <w:vertAlign w:val="superscript"/>
          <w:lang w:val="en-US"/>
        </w:rPr>
        <w:t>1)</w:t>
      </w:r>
      <w:r w:rsidRPr="00945784">
        <w:rPr>
          <w:i/>
          <w:sz w:val="12"/>
          <w:szCs w:val="12"/>
          <w:lang w:val="en-US"/>
        </w:rPr>
        <w:t> </w:t>
      </w:r>
      <w:r w:rsidRPr="00945784">
        <w:rPr>
          <w:rFonts w:ascii="Arial" w:hAnsi="Arial" w:cs="Arial"/>
          <w:i/>
          <w:sz w:val="12"/>
          <w:szCs w:val="12"/>
          <w:lang w:val="en"/>
        </w:rPr>
        <w:t>Starting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945784">
        <w:rPr>
          <w:rFonts w:ascii="Arial" w:hAnsi="Arial" w:cs="Arial"/>
          <w:i/>
          <w:sz w:val="12"/>
          <w:szCs w:val="12"/>
          <w:lang w:val="en"/>
        </w:rPr>
        <w:t>from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since 2010, </w:t>
      </w:r>
      <w:r w:rsidRPr="00945784">
        <w:rPr>
          <w:rFonts w:ascii="Arial" w:hAnsi="Arial" w:cs="Arial"/>
          <w:i/>
          <w:sz w:val="12"/>
          <w:szCs w:val="12"/>
          <w:lang w:val="en"/>
        </w:rPr>
        <w:t>these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945784">
        <w:rPr>
          <w:rFonts w:ascii="Arial" w:hAnsi="Arial" w:cs="Arial"/>
          <w:i/>
          <w:sz w:val="12"/>
          <w:szCs w:val="12"/>
          <w:lang w:val="en"/>
        </w:rPr>
        <w:t xml:space="preserve">data 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were </w:t>
      </w:r>
      <w:r w:rsidRPr="00945784">
        <w:rPr>
          <w:rFonts w:ascii="Arial" w:hAnsi="Arial" w:cs="Arial"/>
          <w:i/>
          <w:sz w:val="12"/>
          <w:szCs w:val="12"/>
          <w:lang w:val="en"/>
        </w:rPr>
        <w:t>refined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, </w:t>
      </w:r>
      <w:r w:rsidRPr="00945784">
        <w:rPr>
          <w:rFonts w:ascii="Arial" w:hAnsi="Arial" w:cs="Arial"/>
          <w:i/>
          <w:sz w:val="12"/>
          <w:szCs w:val="12"/>
          <w:lang w:val="en"/>
        </w:rPr>
        <w:t>calculations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945784">
        <w:rPr>
          <w:rFonts w:ascii="Arial" w:hAnsi="Arial" w:cs="Arial"/>
          <w:i/>
          <w:sz w:val="12"/>
          <w:szCs w:val="12"/>
          <w:lang w:val="en"/>
        </w:rPr>
        <w:t>have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945784">
        <w:rPr>
          <w:rFonts w:ascii="Arial" w:hAnsi="Arial" w:cs="Arial"/>
          <w:i/>
          <w:sz w:val="12"/>
          <w:szCs w:val="12"/>
          <w:lang w:val="en"/>
        </w:rPr>
        <w:t>been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945784">
        <w:rPr>
          <w:rFonts w:ascii="Arial" w:hAnsi="Arial" w:cs="Arial"/>
          <w:i/>
          <w:sz w:val="12"/>
          <w:szCs w:val="12"/>
          <w:lang w:val="en"/>
        </w:rPr>
        <w:t>made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945784">
        <w:rPr>
          <w:rFonts w:ascii="Arial" w:hAnsi="Arial" w:cs="Arial"/>
          <w:i/>
          <w:sz w:val="12"/>
          <w:szCs w:val="12"/>
          <w:lang w:val="en"/>
        </w:rPr>
        <w:t>for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945784">
        <w:rPr>
          <w:rFonts w:ascii="Arial" w:hAnsi="Arial" w:cs="Arial"/>
          <w:i/>
          <w:sz w:val="12"/>
          <w:szCs w:val="12"/>
          <w:lang w:val="en"/>
        </w:rPr>
        <w:t>the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945784">
        <w:rPr>
          <w:rFonts w:ascii="Arial" w:hAnsi="Arial" w:cs="Arial"/>
          <w:i/>
          <w:sz w:val="12"/>
          <w:szCs w:val="12"/>
          <w:lang w:val="en"/>
        </w:rPr>
        <w:t>full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scope </w:t>
      </w:r>
      <w:r w:rsidRPr="00945784">
        <w:rPr>
          <w:rFonts w:ascii="Arial" w:hAnsi="Arial" w:cs="Arial"/>
          <w:i/>
          <w:sz w:val="12"/>
          <w:szCs w:val="12"/>
          <w:lang w:val="en"/>
        </w:rPr>
        <w:t>of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945784">
        <w:rPr>
          <w:rFonts w:ascii="Arial" w:hAnsi="Arial" w:cs="Arial"/>
          <w:i/>
          <w:sz w:val="12"/>
          <w:szCs w:val="12"/>
          <w:lang w:val="en"/>
        </w:rPr>
        <w:t>organizations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, </w:t>
      </w:r>
      <w:r w:rsidRPr="00945784">
        <w:rPr>
          <w:rFonts w:ascii="Arial" w:hAnsi="Arial" w:cs="Arial"/>
          <w:i/>
          <w:sz w:val="12"/>
          <w:szCs w:val="12"/>
          <w:lang w:val="en"/>
        </w:rPr>
        <w:t>taking</w:t>
      </w:r>
      <w:r w:rsidRPr="0094578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945784">
        <w:rPr>
          <w:rFonts w:ascii="Arial" w:hAnsi="Arial" w:cs="Arial"/>
          <w:i/>
          <w:sz w:val="12"/>
          <w:szCs w:val="12"/>
          <w:lang w:val="en"/>
        </w:rPr>
        <w:t>into account the fixed assets of the Bank of Russia and the</w:t>
      </w:r>
      <w:r w:rsidRPr="00945784">
        <w:rPr>
          <w:rFonts w:ascii="Arial" w:hAnsi="Arial" w:cs="Arial"/>
          <w:i/>
          <w:sz w:val="12"/>
          <w:szCs w:val="12"/>
          <w:lang w:val="en-US"/>
        </w:rPr>
        <w:br/>
      </w:r>
      <w:r w:rsidRPr="00945784">
        <w:rPr>
          <w:rFonts w:ascii="Arial" w:hAnsi="Arial" w:cs="Arial"/>
          <w:i/>
          <w:sz w:val="12"/>
          <w:szCs w:val="12"/>
          <w:lang w:val="en"/>
        </w:rPr>
        <w:t>fixed assets held by the state treasury.</w:t>
      </w:r>
    </w:p>
    <w:p w:rsidR="00945784" w:rsidRPr="00945784" w:rsidRDefault="00945784" w:rsidP="00945784">
      <w:pPr>
        <w:ind w:left="113" w:hanging="113"/>
        <w:jc w:val="both"/>
        <w:rPr>
          <w:rFonts w:ascii="Arial" w:hAnsi="Arial" w:cs="Arial"/>
          <w:sz w:val="12"/>
          <w:szCs w:val="12"/>
          <w:lang w:val="en-US"/>
        </w:rPr>
      </w:pPr>
      <w:r w:rsidRPr="00945784">
        <w:rPr>
          <w:rFonts w:ascii="Arial" w:hAnsi="Arial" w:cs="Arial"/>
          <w:sz w:val="12"/>
          <w:szCs w:val="12"/>
          <w:vertAlign w:val="superscript"/>
          <w:lang w:val="en"/>
        </w:rPr>
        <w:t>2)</w:t>
      </w:r>
      <w:r w:rsidRPr="00945784">
        <w:rPr>
          <w:rFonts w:ascii="Arial" w:hAnsi="Arial" w:cs="Arial"/>
          <w:sz w:val="12"/>
          <w:szCs w:val="12"/>
          <w:lang w:val="en"/>
        </w:rPr>
        <w:t> </w:t>
      </w:r>
      <w:r w:rsidRPr="00945784">
        <w:rPr>
          <w:rFonts w:ascii="Arial" w:hAnsi="Arial" w:cs="Arial"/>
          <w:sz w:val="12"/>
          <w:szCs w:val="12"/>
          <w:lang w:val="en-US"/>
        </w:rPr>
        <w:t>Since 2019, the calculation of the cost of housing stock and outbuildings owned by private households has been carried out at the cadastral value.</w:t>
      </w:r>
      <w:bookmarkStart w:id="0" w:name="_GoBack"/>
      <w:bookmarkEnd w:id="0"/>
    </w:p>
    <w:sectPr w:rsidR="00945784" w:rsidRPr="00945784" w:rsidSect="00005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851" w:bottom="1758" w:left="1134" w:header="680" w:footer="1134" w:gutter="0"/>
      <w:pgNumType w:start="3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29" w:rsidRDefault="00680D29">
      <w:r>
        <w:separator/>
      </w:r>
    </w:p>
  </w:endnote>
  <w:endnote w:type="continuationSeparator" w:id="0">
    <w:p w:rsidR="00680D29" w:rsidRDefault="0068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9" w:rsidRPr="00EB765A" w:rsidRDefault="00680D29" w:rsidP="00EB765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9" w:rsidRPr="00EB765A" w:rsidRDefault="00680D29" w:rsidP="00EB765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9" w:rsidRPr="00EB765A" w:rsidRDefault="00680D29" w:rsidP="00EB765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29" w:rsidRDefault="00680D29">
      <w:r>
        <w:separator/>
      </w:r>
    </w:p>
  </w:footnote>
  <w:footnote w:type="continuationSeparator" w:id="0">
    <w:p w:rsidR="00680D29" w:rsidRDefault="0068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9" w:rsidRPr="00EB765A" w:rsidRDefault="00680D29" w:rsidP="00EB765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9" w:rsidRPr="00EB765A" w:rsidRDefault="00680D29" w:rsidP="00EB765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5A" w:rsidRDefault="00EB765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)"/>
      <w:lvlJc w:val="left"/>
      <w:pPr>
        <w:tabs>
          <w:tab w:val="num" w:pos="1233"/>
        </w:tabs>
        <w:ind w:left="1233" w:hanging="360"/>
      </w:pPr>
      <w:rPr>
        <w:rFonts w:hint="default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80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pStyle w:val="81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pStyle w:val="116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7">
    <w:nsid w:val="49D53D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CF5117"/>
    <w:multiLevelType w:val="hybridMultilevel"/>
    <w:tmpl w:val="667645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85"/>
    <w:rsid w:val="00005112"/>
    <w:rsid w:val="00012264"/>
    <w:rsid w:val="0001558F"/>
    <w:rsid w:val="0002142B"/>
    <w:rsid w:val="00037706"/>
    <w:rsid w:val="0005640D"/>
    <w:rsid w:val="0005752B"/>
    <w:rsid w:val="00062260"/>
    <w:rsid w:val="00072A40"/>
    <w:rsid w:val="00080DE7"/>
    <w:rsid w:val="00081E9C"/>
    <w:rsid w:val="00094802"/>
    <w:rsid w:val="0009680F"/>
    <w:rsid w:val="00096F55"/>
    <w:rsid w:val="000A1159"/>
    <w:rsid w:val="000A3D27"/>
    <w:rsid w:val="000E14DE"/>
    <w:rsid w:val="000F2950"/>
    <w:rsid w:val="000F7BBF"/>
    <w:rsid w:val="0011548B"/>
    <w:rsid w:val="00120CAA"/>
    <w:rsid w:val="00120F81"/>
    <w:rsid w:val="00127696"/>
    <w:rsid w:val="00132E2C"/>
    <w:rsid w:val="00144D65"/>
    <w:rsid w:val="00157216"/>
    <w:rsid w:val="0016000D"/>
    <w:rsid w:val="00180A40"/>
    <w:rsid w:val="0019214E"/>
    <w:rsid w:val="00194FA5"/>
    <w:rsid w:val="001954BA"/>
    <w:rsid w:val="00195E0C"/>
    <w:rsid w:val="001971D5"/>
    <w:rsid w:val="001A3CEE"/>
    <w:rsid w:val="001B0F35"/>
    <w:rsid w:val="001B5991"/>
    <w:rsid w:val="001B7385"/>
    <w:rsid w:val="001D1B26"/>
    <w:rsid w:val="001F2D37"/>
    <w:rsid w:val="00203022"/>
    <w:rsid w:val="00225683"/>
    <w:rsid w:val="00226200"/>
    <w:rsid w:val="002555A7"/>
    <w:rsid w:val="00264C10"/>
    <w:rsid w:val="002703C7"/>
    <w:rsid w:val="002A01DB"/>
    <w:rsid w:val="002A24FA"/>
    <w:rsid w:val="002C11BE"/>
    <w:rsid w:val="002C44F6"/>
    <w:rsid w:val="002D1898"/>
    <w:rsid w:val="002D2057"/>
    <w:rsid w:val="002F2691"/>
    <w:rsid w:val="00301844"/>
    <w:rsid w:val="00303506"/>
    <w:rsid w:val="00330D3C"/>
    <w:rsid w:val="003311E7"/>
    <w:rsid w:val="0033310C"/>
    <w:rsid w:val="00344960"/>
    <w:rsid w:val="00346D8A"/>
    <w:rsid w:val="0034793F"/>
    <w:rsid w:val="003505DD"/>
    <w:rsid w:val="00353898"/>
    <w:rsid w:val="00371E92"/>
    <w:rsid w:val="00381625"/>
    <w:rsid w:val="00393DAD"/>
    <w:rsid w:val="003A32A3"/>
    <w:rsid w:val="003A7906"/>
    <w:rsid w:val="003B6D9F"/>
    <w:rsid w:val="003B6E28"/>
    <w:rsid w:val="003C164E"/>
    <w:rsid w:val="003C6F50"/>
    <w:rsid w:val="003D4EDD"/>
    <w:rsid w:val="003E3210"/>
    <w:rsid w:val="003F085E"/>
    <w:rsid w:val="003F6F57"/>
    <w:rsid w:val="004063CE"/>
    <w:rsid w:val="00412E0E"/>
    <w:rsid w:val="004223DC"/>
    <w:rsid w:val="00422AF7"/>
    <w:rsid w:val="00432A40"/>
    <w:rsid w:val="00435BB4"/>
    <w:rsid w:val="00452C5A"/>
    <w:rsid w:val="00456F10"/>
    <w:rsid w:val="00474DDE"/>
    <w:rsid w:val="0048584A"/>
    <w:rsid w:val="004A00E8"/>
    <w:rsid w:val="004A04C8"/>
    <w:rsid w:val="004A6A63"/>
    <w:rsid w:val="004B25DF"/>
    <w:rsid w:val="004B5788"/>
    <w:rsid w:val="004B7A50"/>
    <w:rsid w:val="004C5700"/>
    <w:rsid w:val="004C708F"/>
    <w:rsid w:val="004C77A2"/>
    <w:rsid w:val="004D03D6"/>
    <w:rsid w:val="004D46AA"/>
    <w:rsid w:val="004F4514"/>
    <w:rsid w:val="004F6063"/>
    <w:rsid w:val="00500966"/>
    <w:rsid w:val="005219D0"/>
    <w:rsid w:val="00522423"/>
    <w:rsid w:val="00525556"/>
    <w:rsid w:val="00531E26"/>
    <w:rsid w:val="0053789F"/>
    <w:rsid w:val="0054265E"/>
    <w:rsid w:val="00544A65"/>
    <w:rsid w:val="00556851"/>
    <w:rsid w:val="00564823"/>
    <w:rsid w:val="00564C88"/>
    <w:rsid w:val="00570303"/>
    <w:rsid w:val="00571C30"/>
    <w:rsid w:val="00572DB2"/>
    <w:rsid w:val="0058678D"/>
    <w:rsid w:val="00591955"/>
    <w:rsid w:val="00595DD1"/>
    <w:rsid w:val="005A190D"/>
    <w:rsid w:val="005A339E"/>
    <w:rsid w:val="005A6482"/>
    <w:rsid w:val="005A6B76"/>
    <w:rsid w:val="005A7161"/>
    <w:rsid w:val="005B4DA7"/>
    <w:rsid w:val="005C11D2"/>
    <w:rsid w:val="005C1DDF"/>
    <w:rsid w:val="005C27AE"/>
    <w:rsid w:val="005C2BE3"/>
    <w:rsid w:val="005C3607"/>
    <w:rsid w:val="005D014B"/>
    <w:rsid w:val="005D27E9"/>
    <w:rsid w:val="005D31CB"/>
    <w:rsid w:val="005E17E0"/>
    <w:rsid w:val="005E5909"/>
    <w:rsid w:val="0062083D"/>
    <w:rsid w:val="00623848"/>
    <w:rsid w:val="00635DBE"/>
    <w:rsid w:val="00644CF1"/>
    <w:rsid w:val="00655EBF"/>
    <w:rsid w:val="00661F52"/>
    <w:rsid w:val="006623C7"/>
    <w:rsid w:val="00673436"/>
    <w:rsid w:val="006749B0"/>
    <w:rsid w:val="006770B2"/>
    <w:rsid w:val="00680D29"/>
    <w:rsid w:val="00695B02"/>
    <w:rsid w:val="006A5DE6"/>
    <w:rsid w:val="006A641C"/>
    <w:rsid w:val="006B0FBE"/>
    <w:rsid w:val="006C76E9"/>
    <w:rsid w:val="006D0654"/>
    <w:rsid w:val="006D1EE1"/>
    <w:rsid w:val="006D2869"/>
    <w:rsid w:val="006D4997"/>
    <w:rsid w:val="006E330F"/>
    <w:rsid w:val="006E4A71"/>
    <w:rsid w:val="006F3E63"/>
    <w:rsid w:val="0071421D"/>
    <w:rsid w:val="00716735"/>
    <w:rsid w:val="007219E6"/>
    <w:rsid w:val="007277B7"/>
    <w:rsid w:val="00733441"/>
    <w:rsid w:val="00737917"/>
    <w:rsid w:val="007404D4"/>
    <w:rsid w:val="00757078"/>
    <w:rsid w:val="00757794"/>
    <w:rsid w:val="00772D50"/>
    <w:rsid w:val="0077449B"/>
    <w:rsid w:val="00777B44"/>
    <w:rsid w:val="00783053"/>
    <w:rsid w:val="00791FE2"/>
    <w:rsid w:val="0079266E"/>
    <w:rsid w:val="00795220"/>
    <w:rsid w:val="007964D0"/>
    <w:rsid w:val="0079737A"/>
    <w:rsid w:val="007A32FF"/>
    <w:rsid w:val="007B0440"/>
    <w:rsid w:val="007B1658"/>
    <w:rsid w:val="007B4E8E"/>
    <w:rsid w:val="007B6444"/>
    <w:rsid w:val="007B7960"/>
    <w:rsid w:val="007C034B"/>
    <w:rsid w:val="007C2D8B"/>
    <w:rsid w:val="007C35EF"/>
    <w:rsid w:val="007D12C5"/>
    <w:rsid w:val="007D2CE1"/>
    <w:rsid w:val="007D717A"/>
    <w:rsid w:val="007E033C"/>
    <w:rsid w:val="007E5DC6"/>
    <w:rsid w:val="007E66A0"/>
    <w:rsid w:val="00801BA6"/>
    <w:rsid w:val="008171AE"/>
    <w:rsid w:val="00827BF5"/>
    <w:rsid w:val="008302FB"/>
    <w:rsid w:val="008433E7"/>
    <w:rsid w:val="00846F62"/>
    <w:rsid w:val="00847C64"/>
    <w:rsid w:val="008604E0"/>
    <w:rsid w:val="008636F5"/>
    <w:rsid w:val="00870C4E"/>
    <w:rsid w:val="00876943"/>
    <w:rsid w:val="0089054B"/>
    <w:rsid w:val="0089058C"/>
    <w:rsid w:val="00893E6E"/>
    <w:rsid w:val="00896CCA"/>
    <w:rsid w:val="00897ADE"/>
    <w:rsid w:val="008A044A"/>
    <w:rsid w:val="008A0498"/>
    <w:rsid w:val="008A5943"/>
    <w:rsid w:val="008B3B64"/>
    <w:rsid w:val="008B4EC8"/>
    <w:rsid w:val="008E04C4"/>
    <w:rsid w:val="008E45E2"/>
    <w:rsid w:val="008E5C17"/>
    <w:rsid w:val="008E7A6E"/>
    <w:rsid w:val="008F1ACB"/>
    <w:rsid w:val="008F494A"/>
    <w:rsid w:val="008F63CD"/>
    <w:rsid w:val="008F6D4D"/>
    <w:rsid w:val="008F71C0"/>
    <w:rsid w:val="009045EC"/>
    <w:rsid w:val="00921171"/>
    <w:rsid w:val="00923856"/>
    <w:rsid w:val="00923B82"/>
    <w:rsid w:val="00924860"/>
    <w:rsid w:val="009407F6"/>
    <w:rsid w:val="00945011"/>
    <w:rsid w:val="00945784"/>
    <w:rsid w:val="009506A0"/>
    <w:rsid w:val="00954F6B"/>
    <w:rsid w:val="00997FEB"/>
    <w:rsid w:val="009A1C69"/>
    <w:rsid w:val="009A6777"/>
    <w:rsid w:val="009B0BBF"/>
    <w:rsid w:val="009C051F"/>
    <w:rsid w:val="009C31E2"/>
    <w:rsid w:val="009C43DD"/>
    <w:rsid w:val="009F12DC"/>
    <w:rsid w:val="00A03EA0"/>
    <w:rsid w:val="00A04F9D"/>
    <w:rsid w:val="00A205CD"/>
    <w:rsid w:val="00A220E5"/>
    <w:rsid w:val="00A27829"/>
    <w:rsid w:val="00A35CC9"/>
    <w:rsid w:val="00A44B63"/>
    <w:rsid w:val="00A55B77"/>
    <w:rsid w:val="00A55F9E"/>
    <w:rsid w:val="00A607AC"/>
    <w:rsid w:val="00A61845"/>
    <w:rsid w:val="00A810C5"/>
    <w:rsid w:val="00A92F29"/>
    <w:rsid w:val="00AA0602"/>
    <w:rsid w:val="00AB5422"/>
    <w:rsid w:val="00AC2AA8"/>
    <w:rsid w:val="00AC4070"/>
    <w:rsid w:val="00AD0DA0"/>
    <w:rsid w:val="00AD2DE6"/>
    <w:rsid w:val="00AD31C5"/>
    <w:rsid w:val="00AD3385"/>
    <w:rsid w:val="00AD79D0"/>
    <w:rsid w:val="00AD7C2A"/>
    <w:rsid w:val="00AE48E3"/>
    <w:rsid w:val="00AE5F95"/>
    <w:rsid w:val="00AF678B"/>
    <w:rsid w:val="00B10E88"/>
    <w:rsid w:val="00B20252"/>
    <w:rsid w:val="00B25DB4"/>
    <w:rsid w:val="00B26D85"/>
    <w:rsid w:val="00B455C3"/>
    <w:rsid w:val="00B4746F"/>
    <w:rsid w:val="00B502EE"/>
    <w:rsid w:val="00B50498"/>
    <w:rsid w:val="00B54E10"/>
    <w:rsid w:val="00B614B5"/>
    <w:rsid w:val="00B66EAF"/>
    <w:rsid w:val="00B7274F"/>
    <w:rsid w:val="00B744AA"/>
    <w:rsid w:val="00B84C9C"/>
    <w:rsid w:val="00B906DE"/>
    <w:rsid w:val="00B95101"/>
    <w:rsid w:val="00B95CF2"/>
    <w:rsid w:val="00BA79F2"/>
    <w:rsid w:val="00BB2EF3"/>
    <w:rsid w:val="00BB2EF4"/>
    <w:rsid w:val="00BC3B4E"/>
    <w:rsid w:val="00BC3B6B"/>
    <w:rsid w:val="00BD0D8D"/>
    <w:rsid w:val="00BD4C6E"/>
    <w:rsid w:val="00BE4DE9"/>
    <w:rsid w:val="00C07813"/>
    <w:rsid w:val="00C16878"/>
    <w:rsid w:val="00C24D4F"/>
    <w:rsid w:val="00C32327"/>
    <w:rsid w:val="00C36482"/>
    <w:rsid w:val="00C42C83"/>
    <w:rsid w:val="00C53908"/>
    <w:rsid w:val="00C54C2C"/>
    <w:rsid w:val="00C6484D"/>
    <w:rsid w:val="00C714FE"/>
    <w:rsid w:val="00CB4575"/>
    <w:rsid w:val="00CB483C"/>
    <w:rsid w:val="00CC12FD"/>
    <w:rsid w:val="00CF0AA1"/>
    <w:rsid w:val="00D21B04"/>
    <w:rsid w:val="00D249B2"/>
    <w:rsid w:val="00D24BFA"/>
    <w:rsid w:val="00D25D4C"/>
    <w:rsid w:val="00D34531"/>
    <w:rsid w:val="00D34BF5"/>
    <w:rsid w:val="00D40A67"/>
    <w:rsid w:val="00D62028"/>
    <w:rsid w:val="00D65AA8"/>
    <w:rsid w:val="00D80C28"/>
    <w:rsid w:val="00D86382"/>
    <w:rsid w:val="00D90922"/>
    <w:rsid w:val="00D92982"/>
    <w:rsid w:val="00DB2541"/>
    <w:rsid w:val="00DC5F1C"/>
    <w:rsid w:val="00DE070E"/>
    <w:rsid w:val="00DE621D"/>
    <w:rsid w:val="00DF3495"/>
    <w:rsid w:val="00DF3763"/>
    <w:rsid w:val="00DF4462"/>
    <w:rsid w:val="00DF4FF5"/>
    <w:rsid w:val="00E019DA"/>
    <w:rsid w:val="00E14367"/>
    <w:rsid w:val="00E225C3"/>
    <w:rsid w:val="00E242A7"/>
    <w:rsid w:val="00E34923"/>
    <w:rsid w:val="00E44ABE"/>
    <w:rsid w:val="00E4608C"/>
    <w:rsid w:val="00E5083B"/>
    <w:rsid w:val="00E53427"/>
    <w:rsid w:val="00E621D0"/>
    <w:rsid w:val="00E6297D"/>
    <w:rsid w:val="00E7275D"/>
    <w:rsid w:val="00E8516C"/>
    <w:rsid w:val="00E8659A"/>
    <w:rsid w:val="00E90DCE"/>
    <w:rsid w:val="00E91FC6"/>
    <w:rsid w:val="00EA5197"/>
    <w:rsid w:val="00EB4F4A"/>
    <w:rsid w:val="00EB765A"/>
    <w:rsid w:val="00EF7D6F"/>
    <w:rsid w:val="00F06742"/>
    <w:rsid w:val="00F14AD8"/>
    <w:rsid w:val="00F2495F"/>
    <w:rsid w:val="00F43941"/>
    <w:rsid w:val="00F471FF"/>
    <w:rsid w:val="00F47B3D"/>
    <w:rsid w:val="00F631DC"/>
    <w:rsid w:val="00F83016"/>
    <w:rsid w:val="00F953DD"/>
    <w:rsid w:val="00FA1A9E"/>
    <w:rsid w:val="00FA1BBC"/>
    <w:rsid w:val="00FA4556"/>
    <w:rsid w:val="00FC2BF6"/>
    <w:rsid w:val="00FC65F2"/>
    <w:rsid w:val="00FD2811"/>
    <w:rsid w:val="00FD6312"/>
    <w:rsid w:val="00FE33BE"/>
    <w:rsid w:val="00FE4245"/>
    <w:rsid w:val="00FE5304"/>
    <w:rsid w:val="00FE6E38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884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D85"/>
    <w:rPr>
      <w:lang w:eastAsia="zh-CN"/>
    </w:rPr>
  </w:style>
  <w:style w:type="paragraph" w:styleId="1">
    <w:name w:val="heading 1"/>
    <w:basedOn w:val="a1"/>
    <w:next w:val="a1"/>
    <w:qFormat/>
    <w:rsid w:val="00B26D85"/>
    <w:pPr>
      <w:keepNext/>
      <w:numPr>
        <w:numId w:val="1"/>
      </w:numPr>
      <w:tabs>
        <w:tab w:val="left" w:leader="dot" w:pos="8222"/>
      </w:tabs>
      <w:spacing w:before="40" w:after="120"/>
      <w:ind w:left="57"/>
      <w:jc w:val="center"/>
      <w:outlineLvl w:val="0"/>
    </w:pPr>
    <w:rPr>
      <w:rFonts w:ascii="Arial" w:hAnsi="Arial" w:cs="Arial"/>
      <w:b/>
      <w:sz w:val="16"/>
    </w:rPr>
  </w:style>
  <w:style w:type="paragraph" w:styleId="2">
    <w:name w:val="heading 2"/>
    <w:basedOn w:val="a1"/>
    <w:next w:val="a1"/>
    <w:qFormat/>
    <w:rsid w:val="00B26D85"/>
    <w:pPr>
      <w:keepNext/>
      <w:numPr>
        <w:ilvl w:val="1"/>
        <w:numId w:val="1"/>
      </w:numPr>
      <w:spacing w:before="480" w:after="40" w:line="140" w:lineRule="exact"/>
      <w:ind w:right="6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1"/>
    <w:next w:val="a1"/>
    <w:qFormat/>
    <w:rsid w:val="00B26D85"/>
    <w:pPr>
      <w:keepNext/>
      <w:numPr>
        <w:ilvl w:val="2"/>
        <w:numId w:val="1"/>
      </w:numPr>
      <w:spacing w:before="160" w:line="160" w:lineRule="exact"/>
      <w:ind w:left="227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1"/>
    <w:next w:val="a1"/>
    <w:qFormat/>
    <w:rsid w:val="00B26D85"/>
    <w:pPr>
      <w:keepNext/>
      <w:numPr>
        <w:ilvl w:val="3"/>
        <w:numId w:val="1"/>
      </w:num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</w:tabs>
      <w:spacing w:after="120"/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1"/>
    <w:next w:val="a1"/>
    <w:qFormat/>
    <w:rsid w:val="00B26D85"/>
    <w:pPr>
      <w:keepNext/>
      <w:numPr>
        <w:ilvl w:val="4"/>
        <w:numId w:val="1"/>
      </w:numPr>
      <w:spacing w:before="60" w:line="140" w:lineRule="exact"/>
      <w:ind w:right="113"/>
      <w:jc w:val="center"/>
      <w:outlineLvl w:val="4"/>
    </w:pPr>
    <w:rPr>
      <w:rFonts w:ascii="Arial" w:hAnsi="Arial" w:cs="Arial"/>
      <w:b/>
      <w:sz w:val="14"/>
    </w:rPr>
  </w:style>
  <w:style w:type="paragraph" w:styleId="6">
    <w:name w:val="heading 6"/>
    <w:basedOn w:val="a1"/>
    <w:next w:val="a1"/>
    <w:qFormat/>
    <w:rsid w:val="00B26D85"/>
    <w:pPr>
      <w:keepNext/>
      <w:numPr>
        <w:ilvl w:val="5"/>
        <w:numId w:val="1"/>
      </w:numPr>
      <w:spacing w:before="80" w:line="160" w:lineRule="exact"/>
      <w:ind w:left="170"/>
      <w:jc w:val="center"/>
      <w:outlineLvl w:val="5"/>
    </w:pPr>
    <w:rPr>
      <w:rFonts w:ascii="Arial" w:hAnsi="Arial" w:cs="Arial"/>
      <w:b/>
      <w:sz w:val="14"/>
    </w:rPr>
  </w:style>
  <w:style w:type="paragraph" w:styleId="7">
    <w:name w:val="heading 7"/>
    <w:basedOn w:val="a1"/>
    <w:next w:val="a1"/>
    <w:qFormat/>
    <w:rsid w:val="00B26D85"/>
    <w:pPr>
      <w:keepNext/>
      <w:numPr>
        <w:ilvl w:val="6"/>
        <w:numId w:val="1"/>
      </w:numPr>
      <w:spacing w:before="60" w:line="140" w:lineRule="exact"/>
      <w:jc w:val="center"/>
      <w:outlineLvl w:val="6"/>
    </w:pPr>
    <w:rPr>
      <w:rFonts w:ascii="Arial" w:hAnsi="Arial" w:cs="Arial"/>
      <w:b/>
      <w:sz w:val="14"/>
    </w:rPr>
  </w:style>
  <w:style w:type="paragraph" w:styleId="8">
    <w:name w:val="heading 8"/>
    <w:basedOn w:val="a1"/>
    <w:next w:val="a1"/>
    <w:qFormat/>
    <w:rsid w:val="00B26D85"/>
    <w:pPr>
      <w:keepNext/>
      <w:numPr>
        <w:ilvl w:val="7"/>
        <w:numId w:val="1"/>
      </w:numPr>
      <w:spacing w:before="120" w:line="140" w:lineRule="exact"/>
      <w:ind w:right="28"/>
      <w:jc w:val="center"/>
      <w:outlineLvl w:val="7"/>
    </w:pPr>
    <w:rPr>
      <w:rFonts w:ascii="Arial" w:hAnsi="Arial" w:cs="Arial"/>
      <w:b/>
      <w:sz w:val="14"/>
    </w:rPr>
  </w:style>
  <w:style w:type="paragraph" w:styleId="9">
    <w:name w:val="heading 9"/>
    <w:basedOn w:val="a1"/>
    <w:next w:val="a1"/>
    <w:qFormat/>
    <w:rsid w:val="00B26D85"/>
    <w:pPr>
      <w:keepNext/>
      <w:numPr>
        <w:ilvl w:val="8"/>
        <w:numId w:val="1"/>
      </w:numPr>
      <w:spacing w:before="60" w:line="140" w:lineRule="exact"/>
      <w:outlineLvl w:val="8"/>
    </w:pPr>
    <w:rPr>
      <w:rFonts w:ascii="Arial" w:hAnsi="Arial" w:cs="Arial"/>
      <w:b/>
      <w:sz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26D85"/>
  </w:style>
  <w:style w:type="character" w:customStyle="1" w:styleId="WW8Num1z1">
    <w:name w:val="WW8Num1z1"/>
    <w:rsid w:val="00B26D85"/>
  </w:style>
  <w:style w:type="character" w:customStyle="1" w:styleId="WW8Num1z2">
    <w:name w:val="WW8Num1z2"/>
    <w:rsid w:val="00B26D85"/>
  </w:style>
  <w:style w:type="character" w:customStyle="1" w:styleId="WW8Num1z3">
    <w:name w:val="WW8Num1z3"/>
    <w:rsid w:val="00B26D85"/>
  </w:style>
  <w:style w:type="character" w:customStyle="1" w:styleId="WW8Num1z4">
    <w:name w:val="WW8Num1z4"/>
    <w:rsid w:val="00B26D85"/>
  </w:style>
  <w:style w:type="character" w:customStyle="1" w:styleId="WW8Num1z5">
    <w:name w:val="WW8Num1z5"/>
    <w:rsid w:val="00B26D85"/>
  </w:style>
  <w:style w:type="character" w:customStyle="1" w:styleId="WW8Num1z6">
    <w:name w:val="WW8Num1z6"/>
    <w:rsid w:val="00B26D85"/>
  </w:style>
  <w:style w:type="character" w:customStyle="1" w:styleId="WW8Num1z7">
    <w:name w:val="WW8Num1z7"/>
    <w:rsid w:val="00B26D85"/>
  </w:style>
  <w:style w:type="character" w:customStyle="1" w:styleId="WW8Num1z8">
    <w:name w:val="WW8Num1z8"/>
    <w:rsid w:val="00B26D85"/>
  </w:style>
  <w:style w:type="character" w:customStyle="1" w:styleId="WW8Num2z0">
    <w:name w:val="WW8Num2z0"/>
    <w:rsid w:val="00B26D85"/>
    <w:rPr>
      <w:rFonts w:hint="default"/>
      <w:sz w:val="16"/>
    </w:rPr>
  </w:style>
  <w:style w:type="character" w:customStyle="1" w:styleId="WW8Num3z0">
    <w:name w:val="WW8Num3z0"/>
    <w:rsid w:val="00B26D85"/>
    <w:rPr>
      <w:rFonts w:ascii="Liberation Serif" w:hAnsi="Liberation Serif" w:cs="Liberation Serif" w:hint="default"/>
    </w:rPr>
  </w:style>
  <w:style w:type="character" w:customStyle="1" w:styleId="WW8Num4z0">
    <w:name w:val="WW8Num4z0"/>
    <w:rsid w:val="00B26D85"/>
    <w:rPr>
      <w:rFonts w:ascii="Liberation Serif" w:hAnsi="Liberation Serif" w:cs="Liberation Serif" w:hint="default"/>
    </w:rPr>
  </w:style>
  <w:style w:type="character" w:customStyle="1" w:styleId="WW8Num5z0">
    <w:name w:val="WW8Num5z0"/>
    <w:rsid w:val="00B26D85"/>
    <w:rPr>
      <w:rFonts w:hint="default"/>
    </w:rPr>
  </w:style>
  <w:style w:type="character" w:customStyle="1" w:styleId="WW8Num6z0">
    <w:name w:val="WW8Num6z0"/>
    <w:rsid w:val="00B26D85"/>
    <w:rPr>
      <w:rFonts w:ascii="Symbol" w:hAnsi="Symbol" w:cs="Symbol" w:hint="default"/>
    </w:rPr>
  </w:style>
  <w:style w:type="character" w:customStyle="1" w:styleId="WW8Num7z0">
    <w:name w:val="WW8Num7z0"/>
    <w:rsid w:val="00B26D85"/>
    <w:rPr>
      <w:rFonts w:ascii="Symbol" w:hAnsi="Symbol" w:cs="Symbol" w:hint="default"/>
    </w:rPr>
  </w:style>
  <w:style w:type="character" w:customStyle="1" w:styleId="WW8Num5z1">
    <w:name w:val="WW8Num5z1"/>
    <w:rsid w:val="00B26D85"/>
  </w:style>
  <w:style w:type="character" w:customStyle="1" w:styleId="WW8Num5z2">
    <w:name w:val="WW8Num5z2"/>
    <w:rsid w:val="00B26D85"/>
  </w:style>
  <w:style w:type="character" w:customStyle="1" w:styleId="WW8Num5z3">
    <w:name w:val="WW8Num5z3"/>
    <w:rsid w:val="00B26D85"/>
  </w:style>
  <w:style w:type="character" w:customStyle="1" w:styleId="WW8Num5z4">
    <w:name w:val="WW8Num5z4"/>
    <w:rsid w:val="00B26D85"/>
  </w:style>
  <w:style w:type="character" w:customStyle="1" w:styleId="WW8Num5z5">
    <w:name w:val="WW8Num5z5"/>
    <w:rsid w:val="00B26D85"/>
  </w:style>
  <w:style w:type="character" w:customStyle="1" w:styleId="WW8Num5z6">
    <w:name w:val="WW8Num5z6"/>
    <w:rsid w:val="00B26D85"/>
  </w:style>
  <w:style w:type="character" w:customStyle="1" w:styleId="WW8Num5z7">
    <w:name w:val="WW8Num5z7"/>
    <w:rsid w:val="00B26D85"/>
  </w:style>
  <w:style w:type="character" w:customStyle="1" w:styleId="WW8Num5z8">
    <w:name w:val="WW8Num5z8"/>
    <w:rsid w:val="00B26D85"/>
  </w:style>
  <w:style w:type="character" w:customStyle="1" w:styleId="WW8NumSt4z0">
    <w:name w:val="WW8NumSt4z0"/>
    <w:rsid w:val="00B26D85"/>
    <w:rPr>
      <w:rFonts w:ascii="Symbol" w:hAnsi="Symbol" w:cs="Symbol" w:hint="default"/>
    </w:rPr>
  </w:style>
  <w:style w:type="character" w:customStyle="1" w:styleId="11">
    <w:name w:val="Основной шрифт абзаца1"/>
    <w:rsid w:val="00B26D85"/>
  </w:style>
  <w:style w:type="character" w:styleId="a5">
    <w:name w:val="page number"/>
    <w:basedOn w:val="11"/>
    <w:rsid w:val="00B26D85"/>
  </w:style>
  <w:style w:type="character" w:customStyle="1" w:styleId="a6">
    <w:name w:val="Символ сноски"/>
    <w:rsid w:val="00B26D85"/>
    <w:rPr>
      <w:vertAlign w:val="superscript"/>
    </w:rPr>
  </w:style>
  <w:style w:type="character" w:customStyle="1" w:styleId="a7">
    <w:name w:val="Основной шрифт"/>
    <w:rsid w:val="00B26D85"/>
  </w:style>
  <w:style w:type="character" w:customStyle="1" w:styleId="a8">
    <w:name w:val="знак примечания"/>
    <w:rsid w:val="00B26D85"/>
    <w:rPr>
      <w:sz w:val="16"/>
    </w:rPr>
  </w:style>
  <w:style w:type="character" w:customStyle="1" w:styleId="a9">
    <w:name w:val="номер строки"/>
    <w:basedOn w:val="a7"/>
    <w:rsid w:val="00B26D85"/>
  </w:style>
  <w:style w:type="character" w:customStyle="1" w:styleId="aa">
    <w:name w:val="знак сноски"/>
    <w:rsid w:val="00B26D85"/>
    <w:rPr>
      <w:position w:val="4"/>
      <w:sz w:val="16"/>
    </w:rPr>
  </w:style>
  <w:style w:type="character" w:customStyle="1" w:styleId="ab">
    <w:name w:val="номер страницы"/>
    <w:basedOn w:val="a7"/>
    <w:rsid w:val="00B26D85"/>
  </w:style>
  <w:style w:type="character" w:customStyle="1" w:styleId="BodyTextIndentChar">
    <w:name w:val="Body Text Indent Char"/>
    <w:rsid w:val="00B26D85"/>
    <w:rPr>
      <w:rFonts w:ascii="Arial" w:hAnsi="Arial" w:cs="Arial"/>
      <w:sz w:val="16"/>
      <w:lang w:val="ru-RU" w:bidi="ar-SA"/>
    </w:rPr>
  </w:style>
  <w:style w:type="character" w:customStyle="1" w:styleId="12">
    <w:name w:val="Знак Знак1"/>
    <w:rsid w:val="00B26D85"/>
    <w:rPr>
      <w:rFonts w:ascii="Arial" w:hAnsi="Arial" w:cs="Arial"/>
      <w:sz w:val="16"/>
      <w:lang w:val="ru-RU" w:bidi="ar-SA"/>
    </w:rPr>
  </w:style>
  <w:style w:type="character" w:customStyle="1" w:styleId="BalloonTextChar">
    <w:name w:val="Balloon Text Char"/>
    <w:rsid w:val="00B26D85"/>
    <w:rPr>
      <w:rFonts w:ascii="Tahoma" w:hAnsi="Tahoma" w:cs="Tahoma"/>
      <w:sz w:val="16"/>
      <w:szCs w:val="16"/>
    </w:rPr>
  </w:style>
  <w:style w:type="character" w:styleId="ac">
    <w:name w:val="Hyperlink"/>
    <w:rsid w:val="00B26D85"/>
    <w:rPr>
      <w:color w:val="0000FF"/>
      <w:u w:val="single"/>
    </w:rPr>
  </w:style>
  <w:style w:type="character" w:customStyle="1" w:styleId="Heading9Char">
    <w:name w:val="Heading 9 Char"/>
    <w:rsid w:val="00B26D85"/>
    <w:rPr>
      <w:rFonts w:ascii="Arial" w:hAnsi="Arial" w:cs="Arial"/>
      <w:b/>
      <w:sz w:val="14"/>
      <w:lang w:val="ru-RU" w:bidi="ar-SA"/>
    </w:rPr>
  </w:style>
  <w:style w:type="character" w:customStyle="1" w:styleId="FootnoteTextChar">
    <w:name w:val="Footnote Text Char"/>
    <w:rsid w:val="00B26D85"/>
    <w:rPr>
      <w:lang w:val="ru-RU" w:bidi="ar-SA"/>
    </w:rPr>
  </w:style>
  <w:style w:type="character" w:customStyle="1" w:styleId="shorttext">
    <w:name w:val="short_text"/>
    <w:rsid w:val="00B26D85"/>
  </w:style>
  <w:style w:type="character" w:customStyle="1" w:styleId="alt-edited">
    <w:name w:val="alt-edited"/>
    <w:basedOn w:val="11"/>
    <w:rsid w:val="00B26D85"/>
  </w:style>
  <w:style w:type="character" w:customStyle="1" w:styleId="longtext">
    <w:name w:val="long_text"/>
    <w:basedOn w:val="11"/>
    <w:rsid w:val="00B26D85"/>
  </w:style>
  <w:style w:type="character" w:customStyle="1" w:styleId="hps">
    <w:name w:val="hps"/>
    <w:basedOn w:val="11"/>
    <w:rsid w:val="00B26D85"/>
  </w:style>
  <w:style w:type="character" w:customStyle="1" w:styleId="hpsatn">
    <w:name w:val="hps atn"/>
    <w:basedOn w:val="11"/>
    <w:rsid w:val="00B26D85"/>
  </w:style>
  <w:style w:type="character" w:customStyle="1" w:styleId="CommentReference">
    <w:name w:val="Comment Reference"/>
    <w:rsid w:val="00B26D85"/>
    <w:rPr>
      <w:sz w:val="16"/>
      <w:szCs w:val="16"/>
    </w:rPr>
  </w:style>
  <w:style w:type="character" w:customStyle="1" w:styleId="CommentTextChar">
    <w:name w:val="Comment Text Char"/>
    <w:rsid w:val="00B26D85"/>
    <w:rPr>
      <w:lang w:val="ru-RU"/>
    </w:rPr>
  </w:style>
  <w:style w:type="character" w:customStyle="1" w:styleId="CommentSubjectChar">
    <w:name w:val="Comment Subject Char"/>
    <w:rsid w:val="00B26D85"/>
    <w:rPr>
      <w:b/>
      <w:bCs/>
      <w:lang w:val="ru-RU"/>
    </w:rPr>
  </w:style>
  <w:style w:type="character" w:customStyle="1" w:styleId="DocumentMapChar">
    <w:name w:val="Document Map Char"/>
    <w:rsid w:val="00B26D85"/>
    <w:rPr>
      <w:sz w:val="24"/>
      <w:szCs w:val="24"/>
      <w:lang w:val="ru-RU"/>
    </w:rPr>
  </w:style>
  <w:style w:type="paragraph" w:customStyle="1" w:styleId="ad">
    <w:name w:val="Заголовок"/>
    <w:basedOn w:val="a1"/>
    <w:next w:val="a1"/>
    <w:rsid w:val="00B26D85"/>
    <w:pPr>
      <w:jc w:val="center"/>
    </w:pPr>
    <w:rPr>
      <w:rFonts w:ascii="Arial" w:hAnsi="Arial" w:cs="Arial"/>
      <w:b/>
      <w:sz w:val="16"/>
    </w:rPr>
  </w:style>
  <w:style w:type="paragraph" w:styleId="ae">
    <w:name w:val="Body Text"/>
    <w:basedOn w:val="a1"/>
    <w:rsid w:val="00B26D85"/>
    <w:pPr>
      <w:widowControl w:val="0"/>
      <w:tabs>
        <w:tab w:val="left" w:pos="1276"/>
      </w:tabs>
      <w:jc w:val="center"/>
    </w:pPr>
    <w:rPr>
      <w:rFonts w:ascii="Arial" w:hAnsi="Arial" w:cs="Arial"/>
      <w:b/>
      <w:sz w:val="16"/>
    </w:rPr>
  </w:style>
  <w:style w:type="paragraph" w:styleId="af">
    <w:name w:val="List"/>
    <w:basedOn w:val="ae"/>
    <w:rsid w:val="00B26D85"/>
    <w:rPr>
      <w:rFonts w:cs="Lucida Sans"/>
    </w:rPr>
  </w:style>
  <w:style w:type="paragraph" w:styleId="af0">
    <w:name w:val="caption"/>
    <w:basedOn w:val="a1"/>
    <w:qFormat/>
    <w:rsid w:val="00B26D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1"/>
    <w:rsid w:val="00B26D85"/>
    <w:pPr>
      <w:suppressLineNumbers/>
    </w:pPr>
    <w:rPr>
      <w:rFonts w:cs="Lucida Sans"/>
    </w:rPr>
  </w:style>
  <w:style w:type="paragraph" w:styleId="af1">
    <w:name w:val="header"/>
    <w:basedOn w:val="a1"/>
    <w:rsid w:val="00B26D85"/>
    <w:pPr>
      <w:tabs>
        <w:tab w:val="center" w:pos="4153"/>
        <w:tab w:val="right" w:pos="8306"/>
      </w:tabs>
    </w:pPr>
  </w:style>
  <w:style w:type="paragraph" w:styleId="af2">
    <w:name w:val="footer"/>
    <w:basedOn w:val="a1"/>
    <w:link w:val="af3"/>
    <w:rsid w:val="00B26D85"/>
    <w:pPr>
      <w:tabs>
        <w:tab w:val="center" w:pos="4153"/>
        <w:tab w:val="right" w:pos="8306"/>
      </w:tabs>
    </w:pPr>
  </w:style>
  <w:style w:type="paragraph" w:styleId="af4">
    <w:name w:val="Body Text Indent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ind w:firstLine="284"/>
      <w:jc w:val="both"/>
    </w:pPr>
    <w:rPr>
      <w:rFonts w:ascii="Arial" w:hAnsi="Arial" w:cs="Arial"/>
      <w:sz w:val="16"/>
    </w:rPr>
  </w:style>
  <w:style w:type="paragraph" w:customStyle="1" w:styleId="af5">
    <w:name w:val="боковик"/>
    <w:basedOn w:val="a1"/>
    <w:rsid w:val="00B26D85"/>
    <w:pPr>
      <w:jc w:val="both"/>
    </w:pPr>
    <w:rPr>
      <w:rFonts w:ascii="Arial" w:hAnsi="Arial" w:cs="Arial"/>
      <w:sz w:val="16"/>
    </w:rPr>
  </w:style>
  <w:style w:type="paragraph" w:styleId="af6">
    <w:name w:val="endnote text"/>
    <w:basedOn w:val="a1"/>
    <w:rsid w:val="00B26D85"/>
  </w:style>
  <w:style w:type="paragraph" w:styleId="af7">
    <w:name w:val="footnote text"/>
    <w:basedOn w:val="a1"/>
    <w:rsid w:val="00B26D85"/>
  </w:style>
  <w:style w:type="paragraph" w:customStyle="1" w:styleId="21">
    <w:name w:val="Основной текст с отступом 21"/>
    <w:basedOn w:val="a1"/>
    <w:rsid w:val="00B26D85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00-Zagolovok">
    <w:name w:val="00-Zagolovok"/>
    <w:basedOn w:val="a1"/>
    <w:rsid w:val="00B26D85"/>
    <w:pPr>
      <w:widowControl w:val="0"/>
      <w:spacing w:after="200" w:line="220" w:lineRule="exact"/>
      <w:jc w:val="center"/>
    </w:pPr>
    <w:rPr>
      <w:rFonts w:ascii="PragmaticaC" w:hAnsi="PragmaticaC" w:cs="PragmaticaC"/>
      <w:b/>
      <w:caps/>
      <w:sz w:val="18"/>
    </w:rPr>
  </w:style>
  <w:style w:type="paragraph" w:customStyle="1" w:styleId="BodyText24">
    <w:name w:val="Body Text 24"/>
    <w:basedOn w:val="a1"/>
    <w:rsid w:val="00B26D85"/>
    <w:pPr>
      <w:widowControl w:val="0"/>
      <w:spacing w:before="120" w:line="144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1"/>
    <w:rsid w:val="00B26D85"/>
    <w:pPr>
      <w:spacing w:line="240" w:lineRule="exact"/>
      <w:ind w:left="113" w:hanging="113"/>
      <w:jc w:val="both"/>
    </w:pPr>
    <w:rPr>
      <w:rFonts w:ascii="Arial" w:hAnsi="Arial" w:cs="Arial"/>
      <w:bCs/>
      <w:sz w:val="16"/>
    </w:rPr>
  </w:style>
  <w:style w:type="paragraph" w:customStyle="1" w:styleId="14">
    <w:name w:val="Название объекта1"/>
    <w:basedOn w:val="a1"/>
    <w:next w:val="a1"/>
    <w:rsid w:val="00B26D85"/>
    <w:pPr>
      <w:spacing w:before="240"/>
      <w:jc w:val="center"/>
    </w:pPr>
    <w:rPr>
      <w:rFonts w:ascii="Arial" w:hAnsi="Arial" w:cs="Arial"/>
      <w:b/>
    </w:rPr>
  </w:style>
  <w:style w:type="paragraph" w:customStyle="1" w:styleId="xl24">
    <w:name w:val="xl24"/>
    <w:basedOn w:val="a1"/>
    <w:rsid w:val="00B26D85"/>
    <w:pPr>
      <w:spacing w:before="100" w:after="100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a1"/>
    <w:rsid w:val="00B26D85"/>
    <w:pPr>
      <w:spacing w:before="100" w:after="10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26">
    <w:name w:val="xl26"/>
    <w:basedOn w:val="a1"/>
    <w:rsid w:val="00B26D85"/>
    <w:pPr>
      <w:spacing w:before="100" w:after="10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1"/>
    <w:rsid w:val="00B26D85"/>
    <w:pPr>
      <w:spacing w:before="100" w:after="100"/>
      <w:textAlignment w:val="top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1">
    <w:name w:val="xl31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3">
    <w:name w:val="xl33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4">
    <w:name w:val="xl34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8">
    <w:name w:val="xl38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39">
    <w:name w:val="xl39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40">
    <w:name w:val="xl40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spacing w:after="40"/>
      <w:jc w:val="right"/>
    </w:pPr>
    <w:rPr>
      <w:rFonts w:ascii="Arial" w:hAnsi="Arial" w:cs="Arial"/>
      <w:bCs/>
      <w:sz w:val="14"/>
    </w:rPr>
  </w:style>
  <w:style w:type="paragraph" w:customStyle="1" w:styleId="15">
    <w:name w:val="Обычный (веб)1"/>
    <w:basedOn w:val="a1"/>
    <w:rsid w:val="00B26D85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Основной текст 3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</w:tabs>
      <w:spacing w:line="140" w:lineRule="exact"/>
      <w:jc w:val="both"/>
    </w:pPr>
    <w:rPr>
      <w:rFonts w:ascii="Arial" w:hAnsi="Arial" w:cs="Arial"/>
      <w:sz w:val="12"/>
    </w:rPr>
  </w:style>
  <w:style w:type="paragraph" w:customStyle="1" w:styleId="16">
    <w:name w:val="заголовок 1"/>
    <w:basedOn w:val="a1"/>
    <w:next w:val="a1"/>
    <w:rsid w:val="00B26D85"/>
    <w:pPr>
      <w:spacing w:before="240"/>
    </w:pPr>
    <w:rPr>
      <w:rFonts w:ascii="Arial" w:hAnsi="Arial" w:cs="Arial"/>
      <w:b/>
      <w:sz w:val="24"/>
      <w:u w:val="single"/>
    </w:rPr>
  </w:style>
  <w:style w:type="paragraph" w:customStyle="1" w:styleId="20">
    <w:name w:val="заголовок 2"/>
    <w:basedOn w:val="a1"/>
    <w:next w:val="a1"/>
    <w:rsid w:val="00B26D85"/>
    <w:pPr>
      <w:spacing w:before="120"/>
    </w:pPr>
    <w:rPr>
      <w:rFonts w:ascii="Arial" w:hAnsi="Arial" w:cs="Arial"/>
      <w:b/>
      <w:sz w:val="24"/>
    </w:rPr>
  </w:style>
  <w:style w:type="paragraph" w:customStyle="1" w:styleId="30">
    <w:name w:val="заголовок 3"/>
    <w:basedOn w:val="a1"/>
    <w:next w:val="af8"/>
    <w:rsid w:val="00B26D85"/>
    <w:pPr>
      <w:ind w:left="354"/>
    </w:pPr>
    <w:rPr>
      <w:b/>
      <w:sz w:val="24"/>
    </w:rPr>
  </w:style>
  <w:style w:type="paragraph" w:customStyle="1" w:styleId="af8">
    <w:name w:val="Обычный текст с отступом"/>
    <w:basedOn w:val="a1"/>
    <w:rsid w:val="00B26D85"/>
    <w:pPr>
      <w:ind w:left="708"/>
    </w:pPr>
    <w:rPr>
      <w:rFonts w:ascii="Arial" w:hAnsi="Arial" w:cs="Arial"/>
      <w:sz w:val="14"/>
    </w:rPr>
  </w:style>
  <w:style w:type="paragraph" w:customStyle="1" w:styleId="40">
    <w:name w:val="заголовок 4"/>
    <w:basedOn w:val="a1"/>
    <w:next w:val="af8"/>
    <w:rsid w:val="00B26D85"/>
    <w:pPr>
      <w:ind w:left="354"/>
    </w:pPr>
    <w:rPr>
      <w:sz w:val="24"/>
      <w:u w:val="single"/>
    </w:rPr>
  </w:style>
  <w:style w:type="paragraph" w:customStyle="1" w:styleId="50">
    <w:name w:val="заголовок 5"/>
    <w:basedOn w:val="a1"/>
    <w:next w:val="af8"/>
    <w:rsid w:val="00B26D85"/>
    <w:pPr>
      <w:ind w:left="708"/>
    </w:pPr>
    <w:rPr>
      <w:b/>
    </w:rPr>
  </w:style>
  <w:style w:type="paragraph" w:customStyle="1" w:styleId="60">
    <w:name w:val="заголовок 6"/>
    <w:basedOn w:val="a1"/>
    <w:next w:val="af8"/>
    <w:rsid w:val="00B26D85"/>
    <w:pPr>
      <w:ind w:left="708"/>
    </w:pPr>
    <w:rPr>
      <w:u w:val="single"/>
    </w:rPr>
  </w:style>
  <w:style w:type="paragraph" w:customStyle="1" w:styleId="70">
    <w:name w:val="заголовок 7"/>
    <w:basedOn w:val="a1"/>
    <w:next w:val="af8"/>
    <w:rsid w:val="00B26D85"/>
    <w:pPr>
      <w:ind w:left="708"/>
    </w:pPr>
    <w:rPr>
      <w:i/>
    </w:rPr>
  </w:style>
  <w:style w:type="paragraph" w:customStyle="1" w:styleId="82">
    <w:name w:val="заголовок 8"/>
    <w:basedOn w:val="a1"/>
    <w:next w:val="af8"/>
    <w:rsid w:val="00B26D85"/>
    <w:pPr>
      <w:ind w:left="708"/>
    </w:pPr>
    <w:rPr>
      <w:i/>
    </w:rPr>
  </w:style>
  <w:style w:type="paragraph" w:customStyle="1" w:styleId="90">
    <w:name w:val="заголовок 9"/>
    <w:basedOn w:val="a1"/>
    <w:next w:val="af8"/>
    <w:rsid w:val="00B26D85"/>
    <w:pPr>
      <w:ind w:left="708"/>
    </w:pPr>
    <w:rPr>
      <w:i/>
    </w:rPr>
  </w:style>
  <w:style w:type="paragraph" w:customStyle="1" w:styleId="af9">
    <w:name w:val="текст примечания"/>
    <w:basedOn w:val="a1"/>
    <w:rsid w:val="00B26D85"/>
    <w:rPr>
      <w:rFonts w:ascii="Arial" w:hAnsi="Arial" w:cs="Arial"/>
    </w:rPr>
  </w:style>
  <w:style w:type="paragraph" w:customStyle="1" w:styleId="83">
    <w:name w:val="оглавление 8"/>
    <w:basedOn w:val="a1"/>
    <w:next w:val="a1"/>
    <w:rsid w:val="00B26D85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</w:rPr>
  </w:style>
  <w:style w:type="paragraph" w:customStyle="1" w:styleId="71">
    <w:name w:val="оглавление 7"/>
    <w:basedOn w:val="a1"/>
    <w:next w:val="a1"/>
    <w:rsid w:val="00B26D85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</w:rPr>
  </w:style>
  <w:style w:type="paragraph" w:customStyle="1" w:styleId="61">
    <w:name w:val="оглавление 6"/>
    <w:basedOn w:val="a1"/>
    <w:next w:val="a1"/>
    <w:rsid w:val="00B26D85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</w:rPr>
  </w:style>
  <w:style w:type="paragraph" w:customStyle="1" w:styleId="51">
    <w:name w:val="оглавление 5"/>
    <w:basedOn w:val="a1"/>
    <w:next w:val="a1"/>
    <w:rsid w:val="00B26D85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</w:rPr>
  </w:style>
  <w:style w:type="paragraph" w:customStyle="1" w:styleId="41">
    <w:name w:val="оглавление 4"/>
    <w:basedOn w:val="a1"/>
    <w:next w:val="a1"/>
    <w:rsid w:val="00B26D85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</w:rPr>
  </w:style>
  <w:style w:type="paragraph" w:customStyle="1" w:styleId="32">
    <w:name w:val="оглавление 3"/>
    <w:basedOn w:val="a1"/>
    <w:next w:val="a1"/>
    <w:rsid w:val="00B26D85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</w:rPr>
  </w:style>
  <w:style w:type="paragraph" w:customStyle="1" w:styleId="22">
    <w:name w:val="оглавление 2"/>
    <w:basedOn w:val="a1"/>
    <w:next w:val="a1"/>
    <w:rsid w:val="00B26D85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</w:rPr>
  </w:style>
  <w:style w:type="paragraph" w:customStyle="1" w:styleId="17">
    <w:name w:val="оглавление 1"/>
    <w:basedOn w:val="a1"/>
    <w:next w:val="a1"/>
    <w:rsid w:val="00B26D85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</w:rPr>
  </w:style>
  <w:style w:type="paragraph" w:customStyle="1" w:styleId="72">
    <w:name w:val="указатель 7"/>
    <w:basedOn w:val="a1"/>
    <w:next w:val="a1"/>
    <w:rsid w:val="00B26D85"/>
    <w:pPr>
      <w:ind w:left="1698"/>
    </w:pPr>
    <w:rPr>
      <w:rFonts w:ascii="Arial" w:hAnsi="Arial" w:cs="Arial"/>
      <w:sz w:val="14"/>
    </w:rPr>
  </w:style>
  <w:style w:type="paragraph" w:customStyle="1" w:styleId="62">
    <w:name w:val="указатель 6"/>
    <w:basedOn w:val="a1"/>
    <w:next w:val="a1"/>
    <w:rsid w:val="00B26D85"/>
    <w:pPr>
      <w:ind w:left="1415"/>
    </w:pPr>
    <w:rPr>
      <w:rFonts w:ascii="Arial" w:hAnsi="Arial" w:cs="Arial"/>
      <w:sz w:val="14"/>
    </w:rPr>
  </w:style>
  <w:style w:type="paragraph" w:customStyle="1" w:styleId="52">
    <w:name w:val="указатель 5"/>
    <w:basedOn w:val="a1"/>
    <w:next w:val="a1"/>
    <w:rsid w:val="00B26D85"/>
    <w:pPr>
      <w:ind w:left="1132"/>
    </w:pPr>
    <w:rPr>
      <w:rFonts w:ascii="Arial" w:hAnsi="Arial" w:cs="Arial"/>
      <w:sz w:val="14"/>
    </w:rPr>
  </w:style>
  <w:style w:type="paragraph" w:customStyle="1" w:styleId="42">
    <w:name w:val="указатель 4"/>
    <w:basedOn w:val="a1"/>
    <w:next w:val="a1"/>
    <w:rsid w:val="00B26D85"/>
    <w:pPr>
      <w:ind w:left="849"/>
    </w:pPr>
    <w:rPr>
      <w:rFonts w:ascii="Arial" w:hAnsi="Arial" w:cs="Arial"/>
      <w:sz w:val="14"/>
    </w:rPr>
  </w:style>
  <w:style w:type="paragraph" w:customStyle="1" w:styleId="33">
    <w:name w:val="указатель 3"/>
    <w:basedOn w:val="a1"/>
    <w:next w:val="a1"/>
    <w:rsid w:val="00B26D85"/>
    <w:pPr>
      <w:ind w:left="566"/>
    </w:pPr>
    <w:rPr>
      <w:rFonts w:ascii="Arial" w:hAnsi="Arial" w:cs="Arial"/>
      <w:sz w:val="14"/>
    </w:rPr>
  </w:style>
  <w:style w:type="paragraph" w:customStyle="1" w:styleId="23">
    <w:name w:val="указатель 2"/>
    <w:basedOn w:val="a1"/>
    <w:next w:val="a1"/>
    <w:rsid w:val="00B26D85"/>
    <w:pPr>
      <w:ind w:left="283"/>
    </w:pPr>
    <w:rPr>
      <w:rFonts w:ascii="Arial" w:hAnsi="Arial" w:cs="Arial"/>
      <w:sz w:val="14"/>
    </w:rPr>
  </w:style>
  <w:style w:type="paragraph" w:customStyle="1" w:styleId="18">
    <w:name w:val="указатель 1"/>
    <w:basedOn w:val="a1"/>
    <w:next w:val="a1"/>
    <w:rsid w:val="00B26D85"/>
    <w:rPr>
      <w:rFonts w:ascii="Arial" w:hAnsi="Arial" w:cs="Arial"/>
      <w:sz w:val="14"/>
    </w:rPr>
  </w:style>
  <w:style w:type="paragraph" w:customStyle="1" w:styleId="afa">
    <w:name w:val="указатель"/>
    <w:basedOn w:val="a1"/>
    <w:next w:val="18"/>
    <w:rsid w:val="00B26D85"/>
    <w:rPr>
      <w:rFonts w:ascii="Arial" w:hAnsi="Arial" w:cs="Arial"/>
      <w:sz w:val="14"/>
    </w:rPr>
  </w:style>
  <w:style w:type="paragraph" w:customStyle="1" w:styleId="afb">
    <w:name w:val="текст сноски"/>
    <w:basedOn w:val="a1"/>
    <w:rsid w:val="00B26D85"/>
    <w:rPr>
      <w:rFonts w:ascii="Arial" w:hAnsi="Arial" w:cs="Arial"/>
    </w:rPr>
  </w:style>
  <w:style w:type="paragraph" w:customStyle="1" w:styleId="19">
    <w:name w:val="боковик1"/>
    <w:basedOn w:val="a1"/>
    <w:rsid w:val="00B26D85"/>
    <w:pPr>
      <w:ind w:left="227"/>
      <w:jc w:val="both"/>
    </w:pPr>
    <w:rPr>
      <w:rFonts w:ascii="Arial" w:hAnsi="Arial" w:cs="Arial"/>
      <w:sz w:val="16"/>
    </w:rPr>
  </w:style>
  <w:style w:type="paragraph" w:customStyle="1" w:styleId="24">
    <w:name w:val="боковик2"/>
    <w:basedOn w:val="af5"/>
    <w:rsid w:val="00B26D85"/>
    <w:pPr>
      <w:ind w:left="113"/>
    </w:pPr>
  </w:style>
  <w:style w:type="paragraph" w:customStyle="1" w:styleId="afc">
    <w:name w:val="текст конц. сноски"/>
    <w:basedOn w:val="a1"/>
    <w:rsid w:val="00B26D85"/>
  </w:style>
  <w:style w:type="paragraph" w:customStyle="1" w:styleId="afd">
    <w:name w:val="цифры"/>
    <w:basedOn w:val="af5"/>
    <w:rsid w:val="00B26D85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a">
    <w:name w:val="цифры1"/>
    <w:basedOn w:val="afd"/>
    <w:rsid w:val="00B26D85"/>
    <w:pPr>
      <w:jc w:val="right"/>
    </w:pPr>
    <w:rPr>
      <w:sz w:val="16"/>
    </w:rPr>
  </w:style>
  <w:style w:type="paragraph" w:customStyle="1" w:styleId="34">
    <w:name w:val="боковик3"/>
    <w:basedOn w:val="af5"/>
    <w:rsid w:val="00B26D85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1"/>
    <w:rsid w:val="00B26D85"/>
    <w:rPr>
      <w:rFonts w:ascii="Arial" w:hAnsi="Arial" w:cs="Arial"/>
      <w:sz w:val="16"/>
      <w:lang w:val="en-US"/>
    </w:rPr>
  </w:style>
  <w:style w:type="paragraph" w:customStyle="1" w:styleId="BodyTextIndent2212">
    <w:name w:val="Body Text Indent 2212"/>
    <w:basedOn w:val="a1"/>
    <w:rsid w:val="00B26D85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35">
    <w:name w:val="çàãîëîâîê 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">
    <w:name w:val="Body Text Indent 2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0">
    <w:name w:val="Список 1"/>
    <w:basedOn w:val="a1"/>
    <w:rsid w:val="00B26D85"/>
    <w:pPr>
      <w:numPr>
        <w:numId w:val="6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e"/>
    <w:rsid w:val="00B26D85"/>
    <w:pPr>
      <w:widowControl/>
      <w:numPr>
        <w:numId w:val="2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afe">
    <w:name w:val="Абзац"/>
    <w:basedOn w:val="a1"/>
    <w:rsid w:val="00B26D85"/>
    <w:pPr>
      <w:overflowPunct w:val="0"/>
      <w:autoSpaceDE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0">
    <w:name w:val="Список с номерами"/>
    <w:basedOn w:val="afe"/>
    <w:rsid w:val="00B26D85"/>
    <w:pPr>
      <w:numPr>
        <w:numId w:val="5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1b">
    <w:name w:val="Ñòèëü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11">
    <w:name w:val="Верхний колонтитул31"/>
    <w:basedOn w:val="a1"/>
    <w:rsid w:val="00B26D85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6">
    <w:name w:val="Верхний колонтитул3"/>
    <w:basedOn w:val="a1"/>
    <w:rsid w:val="00B26D85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0">
    <w:name w:val="çàãîëîâîê 3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1"/>
    <w:rsid w:val="00B26D85"/>
    <w:pPr>
      <w:widowControl w:val="0"/>
      <w:spacing w:before="76"/>
      <w:ind w:right="113"/>
      <w:jc w:val="right"/>
    </w:pPr>
    <w:rPr>
      <w:rFonts w:ascii="JournalRub" w:hAnsi="JournalRub" w:cs="JournalRub"/>
      <w:sz w:val="16"/>
    </w:rPr>
  </w:style>
  <w:style w:type="paragraph" w:customStyle="1" w:styleId="170">
    <w:name w:val="Ñòèëü17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40">
    <w:name w:val="çàãîëîâîê 34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BodyText26">
    <w:name w:val="Body Text 26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4121111">
    <w:name w:val="Ñòèëü1412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91111">
    <w:name w:val="Ñòèëü19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21211">
    <w:name w:val="çàãîëîâîê 3212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1">
    <w:name w:val="текст сноски21"/>
    <w:basedOn w:val="a1"/>
    <w:rsid w:val="00B26D85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rsid w:val="00B26D85"/>
    <w:pPr>
      <w:widowControl w:val="0"/>
      <w:suppressAutoHyphens/>
    </w:pPr>
    <w:rPr>
      <w:lang w:eastAsia="zh-CN"/>
    </w:rPr>
  </w:style>
  <w:style w:type="paragraph" w:customStyle="1" w:styleId="320">
    <w:name w:val="çàãîëîâîê 32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1"/>
    <w:rsid w:val="00B26D85"/>
    <w:pPr>
      <w:numPr>
        <w:numId w:val="7"/>
      </w:numPr>
      <w:spacing w:before="120" w:after="120"/>
      <w:jc w:val="both"/>
    </w:pPr>
    <w:rPr>
      <w:sz w:val="16"/>
    </w:rPr>
  </w:style>
  <w:style w:type="paragraph" w:customStyle="1" w:styleId="81">
    <w:name w:val="Список с маркерами8"/>
    <w:basedOn w:val="ae"/>
    <w:rsid w:val="00B26D85"/>
    <w:pPr>
      <w:widowControl/>
      <w:numPr>
        <w:numId w:val="4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80">
    <w:name w:val="Список с номерами8"/>
    <w:basedOn w:val="afe"/>
    <w:rsid w:val="00B26D85"/>
    <w:pPr>
      <w:numPr>
        <w:numId w:val="3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xl2436">
    <w:name w:val="xl2436"/>
    <w:basedOn w:val="a1"/>
    <w:rsid w:val="00B26D85"/>
    <w:pPr>
      <w:spacing w:before="100" w:after="100"/>
      <w:jc w:val="right"/>
    </w:pPr>
    <w:rPr>
      <w:sz w:val="16"/>
      <w:szCs w:val="16"/>
    </w:rPr>
  </w:style>
  <w:style w:type="paragraph" w:customStyle="1" w:styleId="xl45">
    <w:name w:val="xl45"/>
    <w:basedOn w:val="a1"/>
    <w:rsid w:val="00B26D85"/>
    <w:pPr>
      <w:spacing w:before="100" w:after="100"/>
    </w:pPr>
    <w:rPr>
      <w:rFonts w:ascii="Arial" w:eastAsia="Arial Unicode MS" w:hAnsi="Arial" w:cs="Arial Unicode MS"/>
      <w:sz w:val="24"/>
      <w:szCs w:val="24"/>
    </w:rPr>
  </w:style>
  <w:style w:type="paragraph" w:customStyle="1" w:styleId="xl52">
    <w:name w:val="xl52"/>
    <w:basedOn w:val="a1"/>
    <w:rsid w:val="00B26D85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">
    <w:name w:val="òåêñò êîíö. ñíîñêè"/>
    <w:basedOn w:val="a1"/>
    <w:rsid w:val="00B26D85"/>
    <w:rPr>
      <w:rFonts w:ascii="Arial" w:hAnsi="Arial" w:cs="Arial"/>
      <w:sz w:val="14"/>
    </w:rPr>
  </w:style>
  <w:style w:type="paragraph" w:customStyle="1" w:styleId="aff0">
    <w:name w:val="áîêîâèê"/>
    <w:basedOn w:val="a1"/>
    <w:rsid w:val="00B26D85"/>
    <w:pPr>
      <w:spacing w:before="72"/>
      <w:jc w:val="both"/>
    </w:pPr>
    <w:rPr>
      <w:rFonts w:ascii="JournalRub" w:hAnsi="JournalRub" w:cs="JournalRub"/>
      <w:sz w:val="14"/>
    </w:rPr>
  </w:style>
  <w:style w:type="paragraph" w:customStyle="1" w:styleId="1c">
    <w:name w:val="áîêîâèê1"/>
    <w:basedOn w:val="aff0"/>
    <w:rsid w:val="00B26D85"/>
    <w:pPr>
      <w:ind w:left="113"/>
    </w:pPr>
  </w:style>
  <w:style w:type="paragraph" w:customStyle="1" w:styleId="37">
    <w:name w:val="áîêîâèê3"/>
    <w:basedOn w:val="aff0"/>
    <w:rsid w:val="00B26D85"/>
    <w:pPr>
      <w:jc w:val="center"/>
    </w:pPr>
    <w:rPr>
      <w:b/>
    </w:rPr>
  </w:style>
  <w:style w:type="paragraph" w:customStyle="1" w:styleId="25">
    <w:name w:val="áîêîâèê2"/>
    <w:basedOn w:val="aff0"/>
    <w:rsid w:val="00B26D85"/>
    <w:pPr>
      <w:ind w:left="227"/>
    </w:pPr>
  </w:style>
  <w:style w:type="paragraph" w:customStyle="1" w:styleId="aff1">
    <w:name w:val="öèôðû"/>
    <w:basedOn w:val="a1"/>
    <w:rsid w:val="00B26D85"/>
    <w:pPr>
      <w:spacing w:before="72"/>
      <w:ind w:right="57"/>
      <w:jc w:val="right"/>
    </w:pPr>
    <w:rPr>
      <w:rFonts w:ascii="JournalRub" w:hAnsi="JournalRub" w:cs="JournalRub"/>
      <w:sz w:val="18"/>
    </w:rPr>
  </w:style>
  <w:style w:type="paragraph" w:customStyle="1" w:styleId="1d">
    <w:name w:val="öèôðû1"/>
    <w:basedOn w:val="aff1"/>
    <w:rsid w:val="00B26D85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1"/>
    <w:rsid w:val="00B26D85"/>
    <w:pPr>
      <w:tabs>
        <w:tab w:val="center" w:pos="6634"/>
      </w:tabs>
      <w:spacing w:after="120"/>
      <w:jc w:val="center"/>
    </w:pPr>
    <w:rPr>
      <w:rFonts w:ascii="Arial" w:hAnsi="Arial" w:cs="Arial"/>
      <w:b/>
      <w:spacing w:val="15"/>
    </w:rPr>
  </w:style>
  <w:style w:type="paragraph" w:customStyle="1" w:styleId="xl2413">
    <w:name w:val="xl2413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xl2422">
    <w:name w:val="xl2422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Normal1">
    <w:name w:val="Normal1"/>
    <w:rsid w:val="00B26D85"/>
    <w:pPr>
      <w:suppressAutoHyphens/>
    </w:pPr>
    <w:rPr>
      <w:lang w:eastAsia="zh-CN"/>
    </w:rPr>
  </w:style>
  <w:style w:type="paragraph" w:customStyle="1" w:styleId="xl2423">
    <w:name w:val="xl2423"/>
    <w:basedOn w:val="a1"/>
    <w:rsid w:val="00B26D85"/>
    <w:pPr>
      <w:spacing w:before="100" w:after="100"/>
      <w:jc w:val="center"/>
    </w:pPr>
    <w:rPr>
      <w:rFonts w:eastAsia="Arial Unicode MS"/>
      <w:sz w:val="16"/>
      <w:szCs w:val="24"/>
    </w:rPr>
  </w:style>
  <w:style w:type="paragraph" w:customStyle="1" w:styleId="01-golovka">
    <w:name w:val="01-golovka"/>
    <w:basedOn w:val="a1"/>
    <w:rsid w:val="00B26D85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e">
    <w:name w:val="Текст выноски1"/>
    <w:basedOn w:val="a1"/>
    <w:rsid w:val="00B26D85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1"/>
    <w:rsid w:val="00B26D85"/>
  </w:style>
  <w:style w:type="paragraph" w:customStyle="1" w:styleId="CommentSubject">
    <w:name w:val="Comment Subject"/>
    <w:basedOn w:val="CommentText"/>
    <w:next w:val="CommentText"/>
    <w:rsid w:val="00B26D85"/>
    <w:rPr>
      <w:b/>
      <w:bCs/>
    </w:rPr>
  </w:style>
  <w:style w:type="paragraph" w:customStyle="1" w:styleId="1f">
    <w:name w:val="Схема документа1"/>
    <w:basedOn w:val="a1"/>
    <w:rsid w:val="00B26D85"/>
    <w:rPr>
      <w:sz w:val="24"/>
      <w:szCs w:val="24"/>
    </w:rPr>
  </w:style>
  <w:style w:type="paragraph" w:customStyle="1" w:styleId="aff2">
    <w:name w:val="Содержимое таблицы"/>
    <w:basedOn w:val="a1"/>
    <w:rsid w:val="00B26D85"/>
    <w:pPr>
      <w:suppressLineNumbers/>
    </w:pPr>
  </w:style>
  <w:style w:type="paragraph" w:customStyle="1" w:styleId="aff3">
    <w:name w:val="Заголовок таблицы"/>
    <w:basedOn w:val="aff2"/>
    <w:rsid w:val="00B26D85"/>
    <w:pPr>
      <w:jc w:val="center"/>
    </w:pPr>
    <w:rPr>
      <w:b/>
      <w:bCs/>
    </w:rPr>
  </w:style>
  <w:style w:type="paragraph" w:customStyle="1" w:styleId="aff4">
    <w:name w:val="Верхний колонтитул слева"/>
    <w:basedOn w:val="a1"/>
    <w:rsid w:val="00B26D85"/>
    <w:pPr>
      <w:suppressLineNumbers/>
      <w:tabs>
        <w:tab w:val="center" w:pos="4960"/>
        <w:tab w:val="right" w:pos="9921"/>
      </w:tabs>
    </w:pPr>
  </w:style>
  <w:style w:type="paragraph" w:styleId="aff5">
    <w:name w:val="Balloon Text"/>
    <w:basedOn w:val="a1"/>
    <w:semiHidden/>
    <w:rsid w:val="00B26D85"/>
    <w:rPr>
      <w:rFonts w:ascii="Tahoma" w:hAnsi="Tahoma" w:cs="Tahoma"/>
      <w:sz w:val="16"/>
      <w:szCs w:val="16"/>
    </w:rPr>
  </w:style>
  <w:style w:type="character" w:customStyle="1" w:styleId="af3">
    <w:name w:val="Нижний колонтитул Знак"/>
    <w:link w:val="af2"/>
    <w:rsid w:val="00B4746F"/>
    <w:rPr>
      <w:lang w:val="ru-RU" w:eastAsia="zh-CN" w:bidi="ar-SA"/>
    </w:rPr>
  </w:style>
  <w:style w:type="paragraph" w:customStyle="1" w:styleId="1f0">
    <w:name w:val="Абзац списка1"/>
    <w:basedOn w:val="a1"/>
    <w:rsid w:val="00A27829"/>
    <w:pPr>
      <w:ind w:left="720"/>
      <w:contextualSpacing/>
    </w:pPr>
    <w:rPr>
      <w:rFonts w:eastAsia="Calibri"/>
    </w:rPr>
  </w:style>
  <w:style w:type="paragraph" w:customStyle="1" w:styleId="212">
    <w:name w:val="Основной текст с отступом 21"/>
    <w:basedOn w:val="a1"/>
    <w:rsid w:val="008302FB"/>
    <w:pPr>
      <w:spacing w:line="200" w:lineRule="exact"/>
      <w:ind w:left="113" w:firstLine="284"/>
      <w:jc w:val="both"/>
    </w:pPr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D85"/>
    <w:rPr>
      <w:lang w:eastAsia="zh-CN"/>
    </w:rPr>
  </w:style>
  <w:style w:type="paragraph" w:styleId="1">
    <w:name w:val="heading 1"/>
    <w:basedOn w:val="a1"/>
    <w:next w:val="a1"/>
    <w:qFormat/>
    <w:rsid w:val="00B26D85"/>
    <w:pPr>
      <w:keepNext/>
      <w:numPr>
        <w:numId w:val="1"/>
      </w:numPr>
      <w:tabs>
        <w:tab w:val="left" w:leader="dot" w:pos="8222"/>
      </w:tabs>
      <w:spacing w:before="40" w:after="120"/>
      <w:ind w:left="57"/>
      <w:jc w:val="center"/>
      <w:outlineLvl w:val="0"/>
    </w:pPr>
    <w:rPr>
      <w:rFonts w:ascii="Arial" w:hAnsi="Arial" w:cs="Arial"/>
      <w:b/>
      <w:sz w:val="16"/>
    </w:rPr>
  </w:style>
  <w:style w:type="paragraph" w:styleId="2">
    <w:name w:val="heading 2"/>
    <w:basedOn w:val="a1"/>
    <w:next w:val="a1"/>
    <w:qFormat/>
    <w:rsid w:val="00B26D85"/>
    <w:pPr>
      <w:keepNext/>
      <w:numPr>
        <w:ilvl w:val="1"/>
        <w:numId w:val="1"/>
      </w:numPr>
      <w:spacing w:before="480" w:after="40" w:line="140" w:lineRule="exact"/>
      <w:ind w:right="6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1"/>
    <w:next w:val="a1"/>
    <w:qFormat/>
    <w:rsid w:val="00B26D85"/>
    <w:pPr>
      <w:keepNext/>
      <w:numPr>
        <w:ilvl w:val="2"/>
        <w:numId w:val="1"/>
      </w:numPr>
      <w:spacing w:before="160" w:line="160" w:lineRule="exact"/>
      <w:ind w:left="227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1"/>
    <w:next w:val="a1"/>
    <w:qFormat/>
    <w:rsid w:val="00B26D85"/>
    <w:pPr>
      <w:keepNext/>
      <w:numPr>
        <w:ilvl w:val="3"/>
        <w:numId w:val="1"/>
      </w:num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</w:tabs>
      <w:spacing w:after="120"/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1"/>
    <w:next w:val="a1"/>
    <w:qFormat/>
    <w:rsid w:val="00B26D85"/>
    <w:pPr>
      <w:keepNext/>
      <w:numPr>
        <w:ilvl w:val="4"/>
        <w:numId w:val="1"/>
      </w:numPr>
      <w:spacing w:before="60" w:line="140" w:lineRule="exact"/>
      <w:ind w:right="113"/>
      <w:jc w:val="center"/>
      <w:outlineLvl w:val="4"/>
    </w:pPr>
    <w:rPr>
      <w:rFonts w:ascii="Arial" w:hAnsi="Arial" w:cs="Arial"/>
      <w:b/>
      <w:sz w:val="14"/>
    </w:rPr>
  </w:style>
  <w:style w:type="paragraph" w:styleId="6">
    <w:name w:val="heading 6"/>
    <w:basedOn w:val="a1"/>
    <w:next w:val="a1"/>
    <w:qFormat/>
    <w:rsid w:val="00B26D85"/>
    <w:pPr>
      <w:keepNext/>
      <w:numPr>
        <w:ilvl w:val="5"/>
        <w:numId w:val="1"/>
      </w:numPr>
      <w:spacing w:before="80" w:line="160" w:lineRule="exact"/>
      <w:ind w:left="170"/>
      <w:jc w:val="center"/>
      <w:outlineLvl w:val="5"/>
    </w:pPr>
    <w:rPr>
      <w:rFonts w:ascii="Arial" w:hAnsi="Arial" w:cs="Arial"/>
      <w:b/>
      <w:sz w:val="14"/>
    </w:rPr>
  </w:style>
  <w:style w:type="paragraph" w:styleId="7">
    <w:name w:val="heading 7"/>
    <w:basedOn w:val="a1"/>
    <w:next w:val="a1"/>
    <w:qFormat/>
    <w:rsid w:val="00B26D85"/>
    <w:pPr>
      <w:keepNext/>
      <w:numPr>
        <w:ilvl w:val="6"/>
        <w:numId w:val="1"/>
      </w:numPr>
      <w:spacing w:before="60" w:line="140" w:lineRule="exact"/>
      <w:jc w:val="center"/>
      <w:outlineLvl w:val="6"/>
    </w:pPr>
    <w:rPr>
      <w:rFonts w:ascii="Arial" w:hAnsi="Arial" w:cs="Arial"/>
      <w:b/>
      <w:sz w:val="14"/>
    </w:rPr>
  </w:style>
  <w:style w:type="paragraph" w:styleId="8">
    <w:name w:val="heading 8"/>
    <w:basedOn w:val="a1"/>
    <w:next w:val="a1"/>
    <w:qFormat/>
    <w:rsid w:val="00B26D85"/>
    <w:pPr>
      <w:keepNext/>
      <w:numPr>
        <w:ilvl w:val="7"/>
        <w:numId w:val="1"/>
      </w:numPr>
      <w:spacing w:before="120" w:line="140" w:lineRule="exact"/>
      <w:ind w:right="28"/>
      <w:jc w:val="center"/>
      <w:outlineLvl w:val="7"/>
    </w:pPr>
    <w:rPr>
      <w:rFonts w:ascii="Arial" w:hAnsi="Arial" w:cs="Arial"/>
      <w:b/>
      <w:sz w:val="14"/>
    </w:rPr>
  </w:style>
  <w:style w:type="paragraph" w:styleId="9">
    <w:name w:val="heading 9"/>
    <w:basedOn w:val="a1"/>
    <w:next w:val="a1"/>
    <w:qFormat/>
    <w:rsid w:val="00B26D85"/>
    <w:pPr>
      <w:keepNext/>
      <w:numPr>
        <w:ilvl w:val="8"/>
        <w:numId w:val="1"/>
      </w:numPr>
      <w:spacing w:before="60" w:line="140" w:lineRule="exact"/>
      <w:outlineLvl w:val="8"/>
    </w:pPr>
    <w:rPr>
      <w:rFonts w:ascii="Arial" w:hAnsi="Arial" w:cs="Arial"/>
      <w:b/>
      <w:sz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26D85"/>
  </w:style>
  <w:style w:type="character" w:customStyle="1" w:styleId="WW8Num1z1">
    <w:name w:val="WW8Num1z1"/>
    <w:rsid w:val="00B26D85"/>
  </w:style>
  <w:style w:type="character" w:customStyle="1" w:styleId="WW8Num1z2">
    <w:name w:val="WW8Num1z2"/>
    <w:rsid w:val="00B26D85"/>
  </w:style>
  <w:style w:type="character" w:customStyle="1" w:styleId="WW8Num1z3">
    <w:name w:val="WW8Num1z3"/>
    <w:rsid w:val="00B26D85"/>
  </w:style>
  <w:style w:type="character" w:customStyle="1" w:styleId="WW8Num1z4">
    <w:name w:val="WW8Num1z4"/>
    <w:rsid w:val="00B26D85"/>
  </w:style>
  <w:style w:type="character" w:customStyle="1" w:styleId="WW8Num1z5">
    <w:name w:val="WW8Num1z5"/>
    <w:rsid w:val="00B26D85"/>
  </w:style>
  <w:style w:type="character" w:customStyle="1" w:styleId="WW8Num1z6">
    <w:name w:val="WW8Num1z6"/>
    <w:rsid w:val="00B26D85"/>
  </w:style>
  <w:style w:type="character" w:customStyle="1" w:styleId="WW8Num1z7">
    <w:name w:val="WW8Num1z7"/>
    <w:rsid w:val="00B26D85"/>
  </w:style>
  <w:style w:type="character" w:customStyle="1" w:styleId="WW8Num1z8">
    <w:name w:val="WW8Num1z8"/>
    <w:rsid w:val="00B26D85"/>
  </w:style>
  <w:style w:type="character" w:customStyle="1" w:styleId="WW8Num2z0">
    <w:name w:val="WW8Num2z0"/>
    <w:rsid w:val="00B26D85"/>
    <w:rPr>
      <w:rFonts w:hint="default"/>
      <w:sz w:val="16"/>
    </w:rPr>
  </w:style>
  <w:style w:type="character" w:customStyle="1" w:styleId="WW8Num3z0">
    <w:name w:val="WW8Num3z0"/>
    <w:rsid w:val="00B26D85"/>
    <w:rPr>
      <w:rFonts w:ascii="Liberation Serif" w:hAnsi="Liberation Serif" w:cs="Liberation Serif" w:hint="default"/>
    </w:rPr>
  </w:style>
  <w:style w:type="character" w:customStyle="1" w:styleId="WW8Num4z0">
    <w:name w:val="WW8Num4z0"/>
    <w:rsid w:val="00B26D85"/>
    <w:rPr>
      <w:rFonts w:ascii="Liberation Serif" w:hAnsi="Liberation Serif" w:cs="Liberation Serif" w:hint="default"/>
    </w:rPr>
  </w:style>
  <w:style w:type="character" w:customStyle="1" w:styleId="WW8Num5z0">
    <w:name w:val="WW8Num5z0"/>
    <w:rsid w:val="00B26D85"/>
    <w:rPr>
      <w:rFonts w:hint="default"/>
    </w:rPr>
  </w:style>
  <w:style w:type="character" w:customStyle="1" w:styleId="WW8Num6z0">
    <w:name w:val="WW8Num6z0"/>
    <w:rsid w:val="00B26D85"/>
    <w:rPr>
      <w:rFonts w:ascii="Symbol" w:hAnsi="Symbol" w:cs="Symbol" w:hint="default"/>
    </w:rPr>
  </w:style>
  <w:style w:type="character" w:customStyle="1" w:styleId="WW8Num7z0">
    <w:name w:val="WW8Num7z0"/>
    <w:rsid w:val="00B26D85"/>
    <w:rPr>
      <w:rFonts w:ascii="Symbol" w:hAnsi="Symbol" w:cs="Symbol" w:hint="default"/>
    </w:rPr>
  </w:style>
  <w:style w:type="character" w:customStyle="1" w:styleId="WW8Num5z1">
    <w:name w:val="WW8Num5z1"/>
    <w:rsid w:val="00B26D85"/>
  </w:style>
  <w:style w:type="character" w:customStyle="1" w:styleId="WW8Num5z2">
    <w:name w:val="WW8Num5z2"/>
    <w:rsid w:val="00B26D85"/>
  </w:style>
  <w:style w:type="character" w:customStyle="1" w:styleId="WW8Num5z3">
    <w:name w:val="WW8Num5z3"/>
    <w:rsid w:val="00B26D85"/>
  </w:style>
  <w:style w:type="character" w:customStyle="1" w:styleId="WW8Num5z4">
    <w:name w:val="WW8Num5z4"/>
    <w:rsid w:val="00B26D85"/>
  </w:style>
  <w:style w:type="character" w:customStyle="1" w:styleId="WW8Num5z5">
    <w:name w:val="WW8Num5z5"/>
    <w:rsid w:val="00B26D85"/>
  </w:style>
  <w:style w:type="character" w:customStyle="1" w:styleId="WW8Num5z6">
    <w:name w:val="WW8Num5z6"/>
    <w:rsid w:val="00B26D85"/>
  </w:style>
  <w:style w:type="character" w:customStyle="1" w:styleId="WW8Num5z7">
    <w:name w:val="WW8Num5z7"/>
    <w:rsid w:val="00B26D85"/>
  </w:style>
  <w:style w:type="character" w:customStyle="1" w:styleId="WW8Num5z8">
    <w:name w:val="WW8Num5z8"/>
    <w:rsid w:val="00B26D85"/>
  </w:style>
  <w:style w:type="character" w:customStyle="1" w:styleId="WW8NumSt4z0">
    <w:name w:val="WW8NumSt4z0"/>
    <w:rsid w:val="00B26D85"/>
    <w:rPr>
      <w:rFonts w:ascii="Symbol" w:hAnsi="Symbol" w:cs="Symbol" w:hint="default"/>
    </w:rPr>
  </w:style>
  <w:style w:type="character" w:customStyle="1" w:styleId="11">
    <w:name w:val="Основной шрифт абзаца1"/>
    <w:rsid w:val="00B26D85"/>
  </w:style>
  <w:style w:type="character" w:styleId="a5">
    <w:name w:val="page number"/>
    <w:basedOn w:val="11"/>
    <w:rsid w:val="00B26D85"/>
  </w:style>
  <w:style w:type="character" w:customStyle="1" w:styleId="a6">
    <w:name w:val="Символ сноски"/>
    <w:rsid w:val="00B26D85"/>
    <w:rPr>
      <w:vertAlign w:val="superscript"/>
    </w:rPr>
  </w:style>
  <w:style w:type="character" w:customStyle="1" w:styleId="a7">
    <w:name w:val="Основной шрифт"/>
    <w:rsid w:val="00B26D85"/>
  </w:style>
  <w:style w:type="character" w:customStyle="1" w:styleId="a8">
    <w:name w:val="знак примечания"/>
    <w:rsid w:val="00B26D85"/>
    <w:rPr>
      <w:sz w:val="16"/>
    </w:rPr>
  </w:style>
  <w:style w:type="character" w:customStyle="1" w:styleId="a9">
    <w:name w:val="номер строки"/>
    <w:basedOn w:val="a7"/>
    <w:rsid w:val="00B26D85"/>
  </w:style>
  <w:style w:type="character" w:customStyle="1" w:styleId="aa">
    <w:name w:val="знак сноски"/>
    <w:rsid w:val="00B26D85"/>
    <w:rPr>
      <w:position w:val="4"/>
      <w:sz w:val="16"/>
    </w:rPr>
  </w:style>
  <w:style w:type="character" w:customStyle="1" w:styleId="ab">
    <w:name w:val="номер страницы"/>
    <w:basedOn w:val="a7"/>
    <w:rsid w:val="00B26D85"/>
  </w:style>
  <w:style w:type="character" w:customStyle="1" w:styleId="BodyTextIndentChar">
    <w:name w:val="Body Text Indent Char"/>
    <w:rsid w:val="00B26D85"/>
    <w:rPr>
      <w:rFonts w:ascii="Arial" w:hAnsi="Arial" w:cs="Arial"/>
      <w:sz w:val="16"/>
      <w:lang w:val="ru-RU" w:bidi="ar-SA"/>
    </w:rPr>
  </w:style>
  <w:style w:type="character" w:customStyle="1" w:styleId="12">
    <w:name w:val="Знак Знак1"/>
    <w:rsid w:val="00B26D85"/>
    <w:rPr>
      <w:rFonts w:ascii="Arial" w:hAnsi="Arial" w:cs="Arial"/>
      <w:sz w:val="16"/>
      <w:lang w:val="ru-RU" w:bidi="ar-SA"/>
    </w:rPr>
  </w:style>
  <w:style w:type="character" w:customStyle="1" w:styleId="BalloonTextChar">
    <w:name w:val="Balloon Text Char"/>
    <w:rsid w:val="00B26D85"/>
    <w:rPr>
      <w:rFonts w:ascii="Tahoma" w:hAnsi="Tahoma" w:cs="Tahoma"/>
      <w:sz w:val="16"/>
      <w:szCs w:val="16"/>
    </w:rPr>
  </w:style>
  <w:style w:type="character" w:styleId="ac">
    <w:name w:val="Hyperlink"/>
    <w:rsid w:val="00B26D85"/>
    <w:rPr>
      <w:color w:val="0000FF"/>
      <w:u w:val="single"/>
    </w:rPr>
  </w:style>
  <w:style w:type="character" w:customStyle="1" w:styleId="Heading9Char">
    <w:name w:val="Heading 9 Char"/>
    <w:rsid w:val="00B26D85"/>
    <w:rPr>
      <w:rFonts w:ascii="Arial" w:hAnsi="Arial" w:cs="Arial"/>
      <w:b/>
      <w:sz w:val="14"/>
      <w:lang w:val="ru-RU" w:bidi="ar-SA"/>
    </w:rPr>
  </w:style>
  <w:style w:type="character" w:customStyle="1" w:styleId="FootnoteTextChar">
    <w:name w:val="Footnote Text Char"/>
    <w:rsid w:val="00B26D85"/>
    <w:rPr>
      <w:lang w:val="ru-RU" w:bidi="ar-SA"/>
    </w:rPr>
  </w:style>
  <w:style w:type="character" w:customStyle="1" w:styleId="shorttext">
    <w:name w:val="short_text"/>
    <w:rsid w:val="00B26D85"/>
  </w:style>
  <w:style w:type="character" w:customStyle="1" w:styleId="alt-edited">
    <w:name w:val="alt-edited"/>
    <w:basedOn w:val="11"/>
    <w:rsid w:val="00B26D85"/>
  </w:style>
  <w:style w:type="character" w:customStyle="1" w:styleId="longtext">
    <w:name w:val="long_text"/>
    <w:basedOn w:val="11"/>
    <w:rsid w:val="00B26D85"/>
  </w:style>
  <w:style w:type="character" w:customStyle="1" w:styleId="hps">
    <w:name w:val="hps"/>
    <w:basedOn w:val="11"/>
    <w:rsid w:val="00B26D85"/>
  </w:style>
  <w:style w:type="character" w:customStyle="1" w:styleId="hpsatn">
    <w:name w:val="hps atn"/>
    <w:basedOn w:val="11"/>
    <w:rsid w:val="00B26D85"/>
  </w:style>
  <w:style w:type="character" w:customStyle="1" w:styleId="CommentReference">
    <w:name w:val="Comment Reference"/>
    <w:rsid w:val="00B26D85"/>
    <w:rPr>
      <w:sz w:val="16"/>
      <w:szCs w:val="16"/>
    </w:rPr>
  </w:style>
  <w:style w:type="character" w:customStyle="1" w:styleId="CommentTextChar">
    <w:name w:val="Comment Text Char"/>
    <w:rsid w:val="00B26D85"/>
    <w:rPr>
      <w:lang w:val="ru-RU"/>
    </w:rPr>
  </w:style>
  <w:style w:type="character" w:customStyle="1" w:styleId="CommentSubjectChar">
    <w:name w:val="Comment Subject Char"/>
    <w:rsid w:val="00B26D85"/>
    <w:rPr>
      <w:b/>
      <w:bCs/>
      <w:lang w:val="ru-RU"/>
    </w:rPr>
  </w:style>
  <w:style w:type="character" w:customStyle="1" w:styleId="DocumentMapChar">
    <w:name w:val="Document Map Char"/>
    <w:rsid w:val="00B26D85"/>
    <w:rPr>
      <w:sz w:val="24"/>
      <w:szCs w:val="24"/>
      <w:lang w:val="ru-RU"/>
    </w:rPr>
  </w:style>
  <w:style w:type="paragraph" w:customStyle="1" w:styleId="ad">
    <w:name w:val="Заголовок"/>
    <w:basedOn w:val="a1"/>
    <w:next w:val="a1"/>
    <w:rsid w:val="00B26D85"/>
    <w:pPr>
      <w:jc w:val="center"/>
    </w:pPr>
    <w:rPr>
      <w:rFonts w:ascii="Arial" w:hAnsi="Arial" w:cs="Arial"/>
      <w:b/>
      <w:sz w:val="16"/>
    </w:rPr>
  </w:style>
  <w:style w:type="paragraph" w:styleId="ae">
    <w:name w:val="Body Text"/>
    <w:basedOn w:val="a1"/>
    <w:rsid w:val="00B26D85"/>
    <w:pPr>
      <w:widowControl w:val="0"/>
      <w:tabs>
        <w:tab w:val="left" w:pos="1276"/>
      </w:tabs>
      <w:jc w:val="center"/>
    </w:pPr>
    <w:rPr>
      <w:rFonts w:ascii="Arial" w:hAnsi="Arial" w:cs="Arial"/>
      <w:b/>
      <w:sz w:val="16"/>
    </w:rPr>
  </w:style>
  <w:style w:type="paragraph" w:styleId="af">
    <w:name w:val="List"/>
    <w:basedOn w:val="ae"/>
    <w:rsid w:val="00B26D85"/>
    <w:rPr>
      <w:rFonts w:cs="Lucida Sans"/>
    </w:rPr>
  </w:style>
  <w:style w:type="paragraph" w:styleId="af0">
    <w:name w:val="caption"/>
    <w:basedOn w:val="a1"/>
    <w:qFormat/>
    <w:rsid w:val="00B26D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1"/>
    <w:rsid w:val="00B26D85"/>
    <w:pPr>
      <w:suppressLineNumbers/>
    </w:pPr>
    <w:rPr>
      <w:rFonts w:cs="Lucida Sans"/>
    </w:rPr>
  </w:style>
  <w:style w:type="paragraph" w:styleId="af1">
    <w:name w:val="header"/>
    <w:basedOn w:val="a1"/>
    <w:rsid w:val="00B26D85"/>
    <w:pPr>
      <w:tabs>
        <w:tab w:val="center" w:pos="4153"/>
        <w:tab w:val="right" w:pos="8306"/>
      </w:tabs>
    </w:pPr>
  </w:style>
  <w:style w:type="paragraph" w:styleId="af2">
    <w:name w:val="footer"/>
    <w:basedOn w:val="a1"/>
    <w:link w:val="af3"/>
    <w:rsid w:val="00B26D85"/>
    <w:pPr>
      <w:tabs>
        <w:tab w:val="center" w:pos="4153"/>
        <w:tab w:val="right" w:pos="8306"/>
      </w:tabs>
    </w:pPr>
  </w:style>
  <w:style w:type="paragraph" w:styleId="af4">
    <w:name w:val="Body Text Indent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ind w:firstLine="284"/>
      <w:jc w:val="both"/>
    </w:pPr>
    <w:rPr>
      <w:rFonts w:ascii="Arial" w:hAnsi="Arial" w:cs="Arial"/>
      <w:sz w:val="16"/>
    </w:rPr>
  </w:style>
  <w:style w:type="paragraph" w:customStyle="1" w:styleId="af5">
    <w:name w:val="боковик"/>
    <w:basedOn w:val="a1"/>
    <w:rsid w:val="00B26D85"/>
    <w:pPr>
      <w:jc w:val="both"/>
    </w:pPr>
    <w:rPr>
      <w:rFonts w:ascii="Arial" w:hAnsi="Arial" w:cs="Arial"/>
      <w:sz w:val="16"/>
    </w:rPr>
  </w:style>
  <w:style w:type="paragraph" w:styleId="af6">
    <w:name w:val="endnote text"/>
    <w:basedOn w:val="a1"/>
    <w:rsid w:val="00B26D85"/>
  </w:style>
  <w:style w:type="paragraph" w:styleId="af7">
    <w:name w:val="footnote text"/>
    <w:basedOn w:val="a1"/>
    <w:rsid w:val="00B26D85"/>
  </w:style>
  <w:style w:type="paragraph" w:customStyle="1" w:styleId="21">
    <w:name w:val="Основной текст с отступом 21"/>
    <w:basedOn w:val="a1"/>
    <w:rsid w:val="00B26D85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00-Zagolovok">
    <w:name w:val="00-Zagolovok"/>
    <w:basedOn w:val="a1"/>
    <w:rsid w:val="00B26D85"/>
    <w:pPr>
      <w:widowControl w:val="0"/>
      <w:spacing w:after="200" w:line="220" w:lineRule="exact"/>
      <w:jc w:val="center"/>
    </w:pPr>
    <w:rPr>
      <w:rFonts w:ascii="PragmaticaC" w:hAnsi="PragmaticaC" w:cs="PragmaticaC"/>
      <w:b/>
      <w:caps/>
      <w:sz w:val="18"/>
    </w:rPr>
  </w:style>
  <w:style w:type="paragraph" w:customStyle="1" w:styleId="BodyText24">
    <w:name w:val="Body Text 24"/>
    <w:basedOn w:val="a1"/>
    <w:rsid w:val="00B26D85"/>
    <w:pPr>
      <w:widowControl w:val="0"/>
      <w:spacing w:before="120" w:line="144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1"/>
    <w:rsid w:val="00B26D85"/>
    <w:pPr>
      <w:spacing w:line="240" w:lineRule="exact"/>
      <w:ind w:left="113" w:hanging="113"/>
      <w:jc w:val="both"/>
    </w:pPr>
    <w:rPr>
      <w:rFonts w:ascii="Arial" w:hAnsi="Arial" w:cs="Arial"/>
      <w:bCs/>
      <w:sz w:val="16"/>
    </w:rPr>
  </w:style>
  <w:style w:type="paragraph" w:customStyle="1" w:styleId="14">
    <w:name w:val="Название объекта1"/>
    <w:basedOn w:val="a1"/>
    <w:next w:val="a1"/>
    <w:rsid w:val="00B26D85"/>
    <w:pPr>
      <w:spacing w:before="240"/>
      <w:jc w:val="center"/>
    </w:pPr>
    <w:rPr>
      <w:rFonts w:ascii="Arial" w:hAnsi="Arial" w:cs="Arial"/>
      <w:b/>
    </w:rPr>
  </w:style>
  <w:style w:type="paragraph" w:customStyle="1" w:styleId="xl24">
    <w:name w:val="xl24"/>
    <w:basedOn w:val="a1"/>
    <w:rsid w:val="00B26D85"/>
    <w:pPr>
      <w:spacing w:before="100" w:after="100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a1"/>
    <w:rsid w:val="00B26D85"/>
    <w:pPr>
      <w:spacing w:before="100" w:after="10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26">
    <w:name w:val="xl26"/>
    <w:basedOn w:val="a1"/>
    <w:rsid w:val="00B26D85"/>
    <w:pPr>
      <w:spacing w:before="100" w:after="10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1"/>
    <w:rsid w:val="00B26D85"/>
    <w:pPr>
      <w:spacing w:before="100" w:after="100"/>
      <w:textAlignment w:val="top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1">
    <w:name w:val="xl31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3">
    <w:name w:val="xl33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4">
    <w:name w:val="xl34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8">
    <w:name w:val="xl38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39">
    <w:name w:val="xl39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40">
    <w:name w:val="xl40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spacing w:after="40"/>
      <w:jc w:val="right"/>
    </w:pPr>
    <w:rPr>
      <w:rFonts w:ascii="Arial" w:hAnsi="Arial" w:cs="Arial"/>
      <w:bCs/>
      <w:sz w:val="14"/>
    </w:rPr>
  </w:style>
  <w:style w:type="paragraph" w:customStyle="1" w:styleId="15">
    <w:name w:val="Обычный (веб)1"/>
    <w:basedOn w:val="a1"/>
    <w:rsid w:val="00B26D85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Основной текст 3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</w:tabs>
      <w:spacing w:line="140" w:lineRule="exact"/>
      <w:jc w:val="both"/>
    </w:pPr>
    <w:rPr>
      <w:rFonts w:ascii="Arial" w:hAnsi="Arial" w:cs="Arial"/>
      <w:sz w:val="12"/>
    </w:rPr>
  </w:style>
  <w:style w:type="paragraph" w:customStyle="1" w:styleId="16">
    <w:name w:val="заголовок 1"/>
    <w:basedOn w:val="a1"/>
    <w:next w:val="a1"/>
    <w:rsid w:val="00B26D85"/>
    <w:pPr>
      <w:spacing w:before="240"/>
    </w:pPr>
    <w:rPr>
      <w:rFonts w:ascii="Arial" w:hAnsi="Arial" w:cs="Arial"/>
      <w:b/>
      <w:sz w:val="24"/>
      <w:u w:val="single"/>
    </w:rPr>
  </w:style>
  <w:style w:type="paragraph" w:customStyle="1" w:styleId="20">
    <w:name w:val="заголовок 2"/>
    <w:basedOn w:val="a1"/>
    <w:next w:val="a1"/>
    <w:rsid w:val="00B26D85"/>
    <w:pPr>
      <w:spacing w:before="120"/>
    </w:pPr>
    <w:rPr>
      <w:rFonts w:ascii="Arial" w:hAnsi="Arial" w:cs="Arial"/>
      <w:b/>
      <w:sz w:val="24"/>
    </w:rPr>
  </w:style>
  <w:style w:type="paragraph" w:customStyle="1" w:styleId="30">
    <w:name w:val="заголовок 3"/>
    <w:basedOn w:val="a1"/>
    <w:next w:val="af8"/>
    <w:rsid w:val="00B26D85"/>
    <w:pPr>
      <w:ind w:left="354"/>
    </w:pPr>
    <w:rPr>
      <w:b/>
      <w:sz w:val="24"/>
    </w:rPr>
  </w:style>
  <w:style w:type="paragraph" w:customStyle="1" w:styleId="af8">
    <w:name w:val="Обычный текст с отступом"/>
    <w:basedOn w:val="a1"/>
    <w:rsid w:val="00B26D85"/>
    <w:pPr>
      <w:ind w:left="708"/>
    </w:pPr>
    <w:rPr>
      <w:rFonts w:ascii="Arial" w:hAnsi="Arial" w:cs="Arial"/>
      <w:sz w:val="14"/>
    </w:rPr>
  </w:style>
  <w:style w:type="paragraph" w:customStyle="1" w:styleId="40">
    <w:name w:val="заголовок 4"/>
    <w:basedOn w:val="a1"/>
    <w:next w:val="af8"/>
    <w:rsid w:val="00B26D85"/>
    <w:pPr>
      <w:ind w:left="354"/>
    </w:pPr>
    <w:rPr>
      <w:sz w:val="24"/>
      <w:u w:val="single"/>
    </w:rPr>
  </w:style>
  <w:style w:type="paragraph" w:customStyle="1" w:styleId="50">
    <w:name w:val="заголовок 5"/>
    <w:basedOn w:val="a1"/>
    <w:next w:val="af8"/>
    <w:rsid w:val="00B26D85"/>
    <w:pPr>
      <w:ind w:left="708"/>
    </w:pPr>
    <w:rPr>
      <w:b/>
    </w:rPr>
  </w:style>
  <w:style w:type="paragraph" w:customStyle="1" w:styleId="60">
    <w:name w:val="заголовок 6"/>
    <w:basedOn w:val="a1"/>
    <w:next w:val="af8"/>
    <w:rsid w:val="00B26D85"/>
    <w:pPr>
      <w:ind w:left="708"/>
    </w:pPr>
    <w:rPr>
      <w:u w:val="single"/>
    </w:rPr>
  </w:style>
  <w:style w:type="paragraph" w:customStyle="1" w:styleId="70">
    <w:name w:val="заголовок 7"/>
    <w:basedOn w:val="a1"/>
    <w:next w:val="af8"/>
    <w:rsid w:val="00B26D85"/>
    <w:pPr>
      <w:ind w:left="708"/>
    </w:pPr>
    <w:rPr>
      <w:i/>
    </w:rPr>
  </w:style>
  <w:style w:type="paragraph" w:customStyle="1" w:styleId="82">
    <w:name w:val="заголовок 8"/>
    <w:basedOn w:val="a1"/>
    <w:next w:val="af8"/>
    <w:rsid w:val="00B26D85"/>
    <w:pPr>
      <w:ind w:left="708"/>
    </w:pPr>
    <w:rPr>
      <w:i/>
    </w:rPr>
  </w:style>
  <w:style w:type="paragraph" w:customStyle="1" w:styleId="90">
    <w:name w:val="заголовок 9"/>
    <w:basedOn w:val="a1"/>
    <w:next w:val="af8"/>
    <w:rsid w:val="00B26D85"/>
    <w:pPr>
      <w:ind w:left="708"/>
    </w:pPr>
    <w:rPr>
      <w:i/>
    </w:rPr>
  </w:style>
  <w:style w:type="paragraph" w:customStyle="1" w:styleId="af9">
    <w:name w:val="текст примечания"/>
    <w:basedOn w:val="a1"/>
    <w:rsid w:val="00B26D85"/>
    <w:rPr>
      <w:rFonts w:ascii="Arial" w:hAnsi="Arial" w:cs="Arial"/>
    </w:rPr>
  </w:style>
  <w:style w:type="paragraph" w:customStyle="1" w:styleId="83">
    <w:name w:val="оглавление 8"/>
    <w:basedOn w:val="a1"/>
    <w:next w:val="a1"/>
    <w:rsid w:val="00B26D85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</w:rPr>
  </w:style>
  <w:style w:type="paragraph" w:customStyle="1" w:styleId="71">
    <w:name w:val="оглавление 7"/>
    <w:basedOn w:val="a1"/>
    <w:next w:val="a1"/>
    <w:rsid w:val="00B26D85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</w:rPr>
  </w:style>
  <w:style w:type="paragraph" w:customStyle="1" w:styleId="61">
    <w:name w:val="оглавление 6"/>
    <w:basedOn w:val="a1"/>
    <w:next w:val="a1"/>
    <w:rsid w:val="00B26D85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</w:rPr>
  </w:style>
  <w:style w:type="paragraph" w:customStyle="1" w:styleId="51">
    <w:name w:val="оглавление 5"/>
    <w:basedOn w:val="a1"/>
    <w:next w:val="a1"/>
    <w:rsid w:val="00B26D85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</w:rPr>
  </w:style>
  <w:style w:type="paragraph" w:customStyle="1" w:styleId="41">
    <w:name w:val="оглавление 4"/>
    <w:basedOn w:val="a1"/>
    <w:next w:val="a1"/>
    <w:rsid w:val="00B26D85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</w:rPr>
  </w:style>
  <w:style w:type="paragraph" w:customStyle="1" w:styleId="32">
    <w:name w:val="оглавление 3"/>
    <w:basedOn w:val="a1"/>
    <w:next w:val="a1"/>
    <w:rsid w:val="00B26D85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</w:rPr>
  </w:style>
  <w:style w:type="paragraph" w:customStyle="1" w:styleId="22">
    <w:name w:val="оглавление 2"/>
    <w:basedOn w:val="a1"/>
    <w:next w:val="a1"/>
    <w:rsid w:val="00B26D85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</w:rPr>
  </w:style>
  <w:style w:type="paragraph" w:customStyle="1" w:styleId="17">
    <w:name w:val="оглавление 1"/>
    <w:basedOn w:val="a1"/>
    <w:next w:val="a1"/>
    <w:rsid w:val="00B26D85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</w:rPr>
  </w:style>
  <w:style w:type="paragraph" w:customStyle="1" w:styleId="72">
    <w:name w:val="указатель 7"/>
    <w:basedOn w:val="a1"/>
    <w:next w:val="a1"/>
    <w:rsid w:val="00B26D85"/>
    <w:pPr>
      <w:ind w:left="1698"/>
    </w:pPr>
    <w:rPr>
      <w:rFonts w:ascii="Arial" w:hAnsi="Arial" w:cs="Arial"/>
      <w:sz w:val="14"/>
    </w:rPr>
  </w:style>
  <w:style w:type="paragraph" w:customStyle="1" w:styleId="62">
    <w:name w:val="указатель 6"/>
    <w:basedOn w:val="a1"/>
    <w:next w:val="a1"/>
    <w:rsid w:val="00B26D85"/>
    <w:pPr>
      <w:ind w:left="1415"/>
    </w:pPr>
    <w:rPr>
      <w:rFonts w:ascii="Arial" w:hAnsi="Arial" w:cs="Arial"/>
      <w:sz w:val="14"/>
    </w:rPr>
  </w:style>
  <w:style w:type="paragraph" w:customStyle="1" w:styleId="52">
    <w:name w:val="указатель 5"/>
    <w:basedOn w:val="a1"/>
    <w:next w:val="a1"/>
    <w:rsid w:val="00B26D85"/>
    <w:pPr>
      <w:ind w:left="1132"/>
    </w:pPr>
    <w:rPr>
      <w:rFonts w:ascii="Arial" w:hAnsi="Arial" w:cs="Arial"/>
      <w:sz w:val="14"/>
    </w:rPr>
  </w:style>
  <w:style w:type="paragraph" w:customStyle="1" w:styleId="42">
    <w:name w:val="указатель 4"/>
    <w:basedOn w:val="a1"/>
    <w:next w:val="a1"/>
    <w:rsid w:val="00B26D85"/>
    <w:pPr>
      <w:ind w:left="849"/>
    </w:pPr>
    <w:rPr>
      <w:rFonts w:ascii="Arial" w:hAnsi="Arial" w:cs="Arial"/>
      <w:sz w:val="14"/>
    </w:rPr>
  </w:style>
  <w:style w:type="paragraph" w:customStyle="1" w:styleId="33">
    <w:name w:val="указатель 3"/>
    <w:basedOn w:val="a1"/>
    <w:next w:val="a1"/>
    <w:rsid w:val="00B26D85"/>
    <w:pPr>
      <w:ind w:left="566"/>
    </w:pPr>
    <w:rPr>
      <w:rFonts w:ascii="Arial" w:hAnsi="Arial" w:cs="Arial"/>
      <w:sz w:val="14"/>
    </w:rPr>
  </w:style>
  <w:style w:type="paragraph" w:customStyle="1" w:styleId="23">
    <w:name w:val="указатель 2"/>
    <w:basedOn w:val="a1"/>
    <w:next w:val="a1"/>
    <w:rsid w:val="00B26D85"/>
    <w:pPr>
      <w:ind w:left="283"/>
    </w:pPr>
    <w:rPr>
      <w:rFonts w:ascii="Arial" w:hAnsi="Arial" w:cs="Arial"/>
      <w:sz w:val="14"/>
    </w:rPr>
  </w:style>
  <w:style w:type="paragraph" w:customStyle="1" w:styleId="18">
    <w:name w:val="указатель 1"/>
    <w:basedOn w:val="a1"/>
    <w:next w:val="a1"/>
    <w:rsid w:val="00B26D85"/>
    <w:rPr>
      <w:rFonts w:ascii="Arial" w:hAnsi="Arial" w:cs="Arial"/>
      <w:sz w:val="14"/>
    </w:rPr>
  </w:style>
  <w:style w:type="paragraph" w:customStyle="1" w:styleId="afa">
    <w:name w:val="указатель"/>
    <w:basedOn w:val="a1"/>
    <w:next w:val="18"/>
    <w:rsid w:val="00B26D85"/>
    <w:rPr>
      <w:rFonts w:ascii="Arial" w:hAnsi="Arial" w:cs="Arial"/>
      <w:sz w:val="14"/>
    </w:rPr>
  </w:style>
  <w:style w:type="paragraph" w:customStyle="1" w:styleId="afb">
    <w:name w:val="текст сноски"/>
    <w:basedOn w:val="a1"/>
    <w:rsid w:val="00B26D85"/>
    <w:rPr>
      <w:rFonts w:ascii="Arial" w:hAnsi="Arial" w:cs="Arial"/>
    </w:rPr>
  </w:style>
  <w:style w:type="paragraph" w:customStyle="1" w:styleId="19">
    <w:name w:val="боковик1"/>
    <w:basedOn w:val="a1"/>
    <w:rsid w:val="00B26D85"/>
    <w:pPr>
      <w:ind w:left="227"/>
      <w:jc w:val="both"/>
    </w:pPr>
    <w:rPr>
      <w:rFonts w:ascii="Arial" w:hAnsi="Arial" w:cs="Arial"/>
      <w:sz w:val="16"/>
    </w:rPr>
  </w:style>
  <w:style w:type="paragraph" w:customStyle="1" w:styleId="24">
    <w:name w:val="боковик2"/>
    <w:basedOn w:val="af5"/>
    <w:rsid w:val="00B26D85"/>
    <w:pPr>
      <w:ind w:left="113"/>
    </w:pPr>
  </w:style>
  <w:style w:type="paragraph" w:customStyle="1" w:styleId="afc">
    <w:name w:val="текст конц. сноски"/>
    <w:basedOn w:val="a1"/>
    <w:rsid w:val="00B26D85"/>
  </w:style>
  <w:style w:type="paragraph" w:customStyle="1" w:styleId="afd">
    <w:name w:val="цифры"/>
    <w:basedOn w:val="af5"/>
    <w:rsid w:val="00B26D85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a">
    <w:name w:val="цифры1"/>
    <w:basedOn w:val="afd"/>
    <w:rsid w:val="00B26D85"/>
    <w:pPr>
      <w:jc w:val="right"/>
    </w:pPr>
    <w:rPr>
      <w:sz w:val="16"/>
    </w:rPr>
  </w:style>
  <w:style w:type="paragraph" w:customStyle="1" w:styleId="34">
    <w:name w:val="боковик3"/>
    <w:basedOn w:val="af5"/>
    <w:rsid w:val="00B26D85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1"/>
    <w:rsid w:val="00B26D85"/>
    <w:rPr>
      <w:rFonts w:ascii="Arial" w:hAnsi="Arial" w:cs="Arial"/>
      <w:sz w:val="16"/>
      <w:lang w:val="en-US"/>
    </w:rPr>
  </w:style>
  <w:style w:type="paragraph" w:customStyle="1" w:styleId="BodyTextIndent2212">
    <w:name w:val="Body Text Indent 2212"/>
    <w:basedOn w:val="a1"/>
    <w:rsid w:val="00B26D85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35">
    <w:name w:val="çàãîëîâîê 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">
    <w:name w:val="Body Text Indent 2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0">
    <w:name w:val="Список 1"/>
    <w:basedOn w:val="a1"/>
    <w:rsid w:val="00B26D85"/>
    <w:pPr>
      <w:numPr>
        <w:numId w:val="6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e"/>
    <w:rsid w:val="00B26D85"/>
    <w:pPr>
      <w:widowControl/>
      <w:numPr>
        <w:numId w:val="2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afe">
    <w:name w:val="Абзац"/>
    <w:basedOn w:val="a1"/>
    <w:rsid w:val="00B26D85"/>
    <w:pPr>
      <w:overflowPunct w:val="0"/>
      <w:autoSpaceDE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0">
    <w:name w:val="Список с номерами"/>
    <w:basedOn w:val="afe"/>
    <w:rsid w:val="00B26D85"/>
    <w:pPr>
      <w:numPr>
        <w:numId w:val="5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1b">
    <w:name w:val="Ñòèëü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11">
    <w:name w:val="Верхний колонтитул31"/>
    <w:basedOn w:val="a1"/>
    <w:rsid w:val="00B26D85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6">
    <w:name w:val="Верхний колонтитул3"/>
    <w:basedOn w:val="a1"/>
    <w:rsid w:val="00B26D85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0">
    <w:name w:val="çàãîëîâîê 3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1"/>
    <w:rsid w:val="00B26D85"/>
    <w:pPr>
      <w:widowControl w:val="0"/>
      <w:spacing w:before="76"/>
      <w:ind w:right="113"/>
      <w:jc w:val="right"/>
    </w:pPr>
    <w:rPr>
      <w:rFonts w:ascii="JournalRub" w:hAnsi="JournalRub" w:cs="JournalRub"/>
      <w:sz w:val="16"/>
    </w:rPr>
  </w:style>
  <w:style w:type="paragraph" w:customStyle="1" w:styleId="170">
    <w:name w:val="Ñòèëü17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40">
    <w:name w:val="çàãîëîâîê 34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BodyText26">
    <w:name w:val="Body Text 26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4121111">
    <w:name w:val="Ñòèëü1412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91111">
    <w:name w:val="Ñòèëü19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21211">
    <w:name w:val="çàãîëîâîê 3212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1">
    <w:name w:val="текст сноски21"/>
    <w:basedOn w:val="a1"/>
    <w:rsid w:val="00B26D85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rsid w:val="00B26D85"/>
    <w:pPr>
      <w:widowControl w:val="0"/>
      <w:suppressAutoHyphens/>
    </w:pPr>
    <w:rPr>
      <w:lang w:eastAsia="zh-CN"/>
    </w:rPr>
  </w:style>
  <w:style w:type="paragraph" w:customStyle="1" w:styleId="320">
    <w:name w:val="çàãîëîâîê 32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1"/>
    <w:rsid w:val="00B26D85"/>
    <w:pPr>
      <w:numPr>
        <w:numId w:val="7"/>
      </w:numPr>
      <w:spacing w:before="120" w:after="120"/>
      <w:jc w:val="both"/>
    </w:pPr>
    <w:rPr>
      <w:sz w:val="16"/>
    </w:rPr>
  </w:style>
  <w:style w:type="paragraph" w:customStyle="1" w:styleId="81">
    <w:name w:val="Список с маркерами8"/>
    <w:basedOn w:val="ae"/>
    <w:rsid w:val="00B26D85"/>
    <w:pPr>
      <w:widowControl/>
      <w:numPr>
        <w:numId w:val="4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80">
    <w:name w:val="Список с номерами8"/>
    <w:basedOn w:val="afe"/>
    <w:rsid w:val="00B26D85"/>
    <w:pPr>
      <w:numPr>
        <w:numId w:val="3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xl2436">
    <w:name w:val="xl2436"/>
    <w:basedOn w:val="a1"/>
    <w:rsid w:val="00B26D85"/>
    <w:pPr>
      <w:spacing w:before="100" w:after="100"/>
      <w:jc w:val="right"/>
    </w:pPr>
    <w:rPr>
      <w:sz w:val="16"/>
      <w:szCs w:val="16"/>
    </w:rPr>
  </w:style>
  <w:style w:type="paragraph" w:customStyle="1" w:styleId="xl45">
    <w:name w:val="xl45"/>
    <w:basedOn w:val="a1"/>
    <w:rsid w:val="00B26D85"/>
    <w:pPr>
      <w:spacing w:before="100" w:after="100"/>
    </w:pPr>
    <w:rPr>
      <w:rFonts w:ascii="Arial" w:eastAsia="Arial Unicode MS" w:hAnsi="Arial" w:cs="Arial Unicode MS"/>
      <w:sz w:val="24"/>
      <w:szCs w:val="24"/>
    </w:rPr>
  </w:style>
  <w:style w:type="paragraph" w:customStyle="1" w:styleId="xl52">
    <w:name w:val="xl52"/>
    <w:basedOn w:val="a1"/>
    <w:rsid w:val="00B26D85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">
    <w:name w:val="òåêñò êîíö. ñíîñêè"/>
    <w:basedOn w:val="a1"/>
    <w:rsid w:val="00B26D85"/>
    <w:rPr>
      <w:rFonts w:ascii="Arial" w:hAnsi="Arial" w:cs="Arial"/>
      <w:sz w:val="14"/>
    </w:rPr>
  </w:style>
  <w:style w:type="paragraph" w:customStyle="1" w:styleId="aff0">
    <w:name w:val="áîêîâèê"/>
    <w:basedOn w:val="a1"/>
    <w:rsid w:val="00B26D85"/>
    <w:pPr>
      <w:spacing w:before="72"/>
      <w:jc w:val="both"/>
    </w:pPr>
    <w:rPr>
      <w:rFonts w:ascii="JournalRub" w:hAnsi="JournalRub" w:cs="JournalRub"/>
      <w:sz w:val="14"/>
    </w:rPr>
  </w:style>
  <w:style w:type="paragraph" w:customStyle="1" w:styleId="1c">
    <w:name w:val="áîêîâèê1"/>
    <w:basedOn w:val="aff0"/>
    <w:rsid w:val="00B26D85"/>
    <w:pPr>
      <w:ind w:left="113"/>
    </w:pPr>
  </w:style>
  <w:style w:type="paragraph" w:customStyle="1" w:styleId="37">
    <w:name w:val="áîêîâèê3"/>
    <w:basedOn w:val="aff0"/>
    <w:rsid w:val="00B26D85"/>
    <w:pPr>
      <w:jc w:val="center"/>
    </w:pPr>
    <w:rPr>
      <w:b/>
    </w:rPr>
  </w:style>
  <w:style w:type="paragraph" w:customStyle="1" w:styleId="25">
    <w:name w:val="áîêîâèê2"/>
    <w:basedOn w:val="aff0"/>
    <w:rsid w:val="00B26D85"/>
    <w:pPr>
      <w:ind w:left="227"/>
    </w:pPr>
  </w:style>
  <w:style w:type="paragraph" w:customStyle="1" w:styleId="aff1">
    <w:name w:val="öèôðû"/>
    <w:basedOn w:val="a1"/>
    <w:rsid w:val="00B26D85"/>
    <w:pPr>
      <w:spacing w:before="72"/>
      <w:ind w:right="57"/>
      <w:jc w:val="right"/>
    </w:pPr>
    <w:rPr>
      <w:rFonts w:ascii="JournalRub" w:hAnsi="JournalRub" w:cs="JournalRub"/>
      <w:sz w:val="18"/>
    </w:rPr>
  </w:style>
  <w:style w:type="paragraph" w:customStyle="1" w:styleId="1d">
    <w:name w:val="öèôðû1"/>
    <w:basedOn w:val="aff1"/>
    <w:rsid w:val="00B26D85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1"/>
    <w:rsid w:val="00B26D85"/>
    <w:pPr>
      <w:tabs>
        <w:tab w:val="center" w:pos="6634"/>
      </w:tabs>
      <w:spacing w:after="120"/>
      <w:jc w:val="center"/>
    </w:pPr>
    <w:rPr>
      <w:rFonts w:ascii="Arial" w:hAnsi="Arial" w:cs="Arial"/>
      <w:b/>
      <w:spacing w:val="15"/>
    </w:rPr>
  </w:style>
  <w:style w:type="paragraph" w:customStyle="1" w:styleId="xl2413">
    <w:name w:val="xl2413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xl2422">
    <w:name w:val="xl2422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Normal1">
    <w:name w:val="Normal1"/>
    <w:rsid w:val="00B26D85"/>
    <w:pPr>
      <w:suppressAutoHyphens/>
    </w:pPr>
    <w:rPr>
      <w:lang w:eastAsia="zh-CN"/>
    </w:rPr>
  </w:style>
  <w:style w:type="paragraph" w:customStyle="1" w:styleId="xl2423">
    <w:name w:val="xl2423"/>
    <w:basedOn w:val="a1"/>
    <w:rsid w:val="00B26D85"/>
    <w:pPr>
      <w:spacing w:before="100" w:after="100"/>
      <w:jc w:val="center"/>
    </w:pPr>
    <w:rPr>
      <w:rFonts w:eastAsia="Arial Unicode MS"/>
      <w:sz w:val="16"/>
      <w:szCs w:val="24"/>
    </w:rPr>
  </w:style>
  <w:style w:type="paragraph" w:customStyle="1" w:styleId="01-golovka">
    <w:name w:val="01-golovka"/>
    <w:basedOn w:val="a1"/>
    <w:rsid w:val="00B26D85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e">
    <w:name w:val="Текст выноски1"/>
    <w:basedOn w:val="a1"/>
    <w:rsid w:val="00B26D85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1"/>
    <w:rsid w:val="00B26D85"/>
  </w:style>
  <w:style w:type="paragraph" w:customStyle="1" w:styleId="CommentSubject">
    <w:name w:val="Comment Subject"/>
    <w:basedOn w:val="CommentText"/>
    <w:next w:val="CommentText"/>
    <w:rsid w:val="00B26D85"/>
    <w:rPr>
      <w:b/>
      <w:bCs/>
    </w:rPr>
  </w:style>
  <w:style w:type="paragraph" w:customStyle="1" w:styleId="1f">
    <w:name w:val="Схема документа1"/>
    <w:basedOn w:val="a1"/>
    <w:rsid w:val="00B26D85"/>
    <w:rPr>
      <w:sz w:val="24"/>
      <w:szCs w:val="24"/>
    </w:rPr>
  </w:style>
  <w:style w:type="paragraph" w:customStyle="1" w:styleId="aff2">
    <w:name w:val="Содержимое таблицы"/>
    <w:basedOn w:val="a1"/>
    <w:rsid w:val="00B26D85"/>
    <w:pPr>
      <w:suppressLineNumbers/>
    </w:pPr>
  </w:style>
  <w:style w:type="paragraph" w:customStyle="1" w:styleId="aff3">
    <w:name w:val="Заголовок таблицы"/>
    <w:basedOn w:val="aff2"/>
    <w:rsid w:val="00B26D85"/>
    <w:pPr>
      <w:jc w:val="center"/>
    </w:pPr>
    <w:rPr>
      <w:b/>
      <w:bCs/>
    </w:rPr>
  </w:style>
  <w:style w:type="paragraph" w:customStyle="1" w:styleId="aff4">
    <w:name w:val="Верхний колонтитул слева"/>
    <w:basedOn w:val="a1"/>
    <w:rsid w:val="00B26D85"/>
    <w:pPr>
      <w:suppressLineNumbers/>
      <w:tabs>
        <w:tab w:val="center" w:pos="4960"/>
        <w:tab w:val="right" w:pos="9921"/>
      </w:tabs>
    </w:pPr>
  </w:style>
  <w:style w:type="paragraph" w:styleId="aff5">
    <w:name w:val="Balloon Text"/>
    <w:basedOn w:val="a1"/>
    <w:semiHidden/>
    <w:rsid w:val="00B26D85"/>
    <w:rPr>
      <w:rFonts w:ascii="Tahoma" w:hAnsi="Tahoma" w:cs="Tahoma"/>
      <w:sz w:val="16"/>
      <w:szCs w:val="16"/>
    </w:rPr>
  </w:style>
  <w:style w:type="character" w:customStyle="1" w:styleId="af3">
    <w:name w:val="Нижний колонтитул Знак"/>
    <w:link w:val="af2"/>
    <w:rsid w:val="00B4746F"/>
    <w:rPr>
      <w:lang w:val="ru-RU" w:eastAsia="zh-CN" w:bidi="ar-SA"/>
    </w:rPr>
  </w:style>
  <w:style w:type="paragraph" w:customStyle="1" w:styleId="1f0">
    <w:name w:val="Абзац списка1"/>
    <w:basedOn w:val="a1"/>
    <w:rsid w:val="00A27829"/>
    <w:pPr>
      <w:ind w:left="720"/>
      <w:contextualSpacing/>
    </w:pPr>
    <w:rPr>
      <w:rFonts w:eastAsia="Calibri"/>
    </w:rPr>
  </w:style>
  <w:style w:type="paragraph" w:customStyle="1" w:styleId="212">
    <w:name w:val="Основной текст с отступом 21"/>
    <w:basedOn w:val="a1"/>
    <w:rsid w:val="008302FB"/>
    <w:pPr>
      <w:spacing w:line="200" w:lineRule="exact"/>
      <w:ind w:left="113" w:firstLine="284"/>
      <w:jc w:val="both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Markova_G</dc:creator>
  <cp:lastModifiedBy>Маркова Галина Викторовна</cp:lastModifiedBy>
  <cp:revision>2</cp:revision>
  <cp:lastPrinted>2021-01-15T06:32:00Z</cp:lastPrinted>
  <dcterms:created xsi:type="dcterms:W3CDTF">2022-01-31T13:30:00Z</dcterms:created>
  <dcterms:modified xsi:type="dcterms:W3CDTF">2022-01-31T13:30:00Z</dcterms:modified>
</cp:coreProperties>
</file>