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AE" w:rsidRPr="004F11DD" w:rsidRDefault="00AB65AE" w:rsidP="00AB65AE">
      <w:pPr>
        <w:pStyle w:val="a5"/>
        <w:pageBreakBefore/>
        <w:pBdr>
          <w:bottom w:val="none" w:sz="0" w:space="0" w:color="auto"/>
        </w:pBdr>
        <w:spacing w:after="60"/>
      </w:pPr>
      <w:r w:rsidRPr="004F11DD">
        <w:t xml:space="preserve">4.3. ЧИСЛЕННОСТЬ ЗАНЯТЫХ ПО ФАКТИЧЕСКОЙ ПРОДОЛЖИТЕЛЬНОСТИ </w:t>
      </w:r>
      <w:r w:rsidRPr="004F11DD">
        <w:br/>
        <w:t>РАБОЧЕЙ НЕДЕЛИ И ВИДАМ ЭКОНОМИЧЕСКОЙ ДЕЯТЕЛЬНОСТИ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704"/>
        <w:gridCol w:w="704"/>
        <w:gridCol w:w="703"/>
        <w:gridCol w:w="703"/>
        <w:gridCol w:w="702"/>
        <w:gridCol w:w="702"/>
        <w:gridCol w:w="702"/>
        <w:gridCol w:w="702"/>
        <w:gridCol w:w="702"/>
        <w:gridCol w:w="986"/>
      </w:tblGrid>
      <w:tr w:rsidR="00AB65AE" w:rsidRPr="004F11DD" w:rsidTr="00576AAF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тыс.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5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Отработано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в среднем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на одного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занятого, часов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в неделю</w:t>
            </w:r>
          </w:p>
        </w:tc>
      </w:tr>
      <w:tr w:rsidR="00AB65AE" w:rsidRPr="004F11DD" w:rsidTr="00576AAF">
        <w:trPr>
          <w:cantSplit/>
          <w:jc w:val="center"/>
        </w:trPr>
        <w:tc>
          <w:tcPr>
            <w:tcW w:w="22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отработали часов в неделю</w:t>
            </w: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временно отсутств</w:t>
            </w:r>
            <w:r w:rsidRPr="004F11DD">
              <w:rPr>
                <w:rFonts w:ascii="Arial" w:hAnsi="Arial" w:cs="Arial"/>
                <w:sz w:val="12"/>
                <w:szCs w:val="12"/>
              </w:rPr>
              <w:t>о</w:t>
            </w:r>
            <w:r w:rsidRPr="004F11DD">
              <w:rPr>
                <w:rFonts w:ascii="Arial" w:hAnsi="Arial" w:cs="Arial"/>
                <w:sz w:val="12"/>
                <w:szCs w:val="12"/>
              </w:rPr>
              <w:t>вали</w:t>
            </w: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5AE" w:rsidRPr="004F11DD" w:rsidTr="00576AAF">
        <w:trPr>
          <w:cantSplit/>
          <w:jc w:val="center"/>
        </w:trPr>
        <w:tc>
          <w:tcPr>
            <w:tcW w:w="221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менее 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9-15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16-20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21-30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31-40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41-50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51 и более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65AE" w:rsidRPr="004F11DD" w:rsidRDefault="00AB65AE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top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F11DD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71933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1072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1662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61435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3259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2512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4196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2784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1651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F11DD">
              <w:rPr>
                <w:rFonts w:ascii="Arial" w:hAnsi="Arial" w:cs="Arial"/>
                <w:spacing w:val="-4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10258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9224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1876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1746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F11DD">
              <w:rPr>
                <w:rFonts w:ascii="Arial" w:hAnsi="Arial" w:cs="Arial"/>
                <w:spacing w:val="-4"/>
                <w:sz w:val="14"/>
                <w:szCs w:val="14"/>
              </w:rPr>
              <w:t>Водоснабжение; водоотведение, организация сбора и утилизация отходов, деятельность по ликв</w:t>
            </w:r>
            <w:r w:rsidRPr="004F11DD">
              <w:rPr>
                <w:rFonts w:ascii="Arial" w:hAnsi="Arial" w:cs="Arial"/>
                <w:spacing w:val="-4"/>
                <w:sz w:val="14"/>
                <w:szCs w:val="14"/>
              </w:rPr>
              <w:t>и</w:t>
            </w:r>
            <w:r w:rsidRPr="004F11DD">
              <w:rPr>
                <w:rFonts w:ascii="Arial" w:hAnsi="Arial" w:cs="Arial"/>
                <w:spacing w:val="-4"/>
                <w:sz w:val="14"/>
                <w:szCs w:val="14"/>
              </w:rPr>
              <w:t>дации загрязнений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4966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4104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F11DD">
              <w:rPr>
                <w:rFonts w:ascii="Arial" w:hAnsi="Arial" w:cs="Arial"/>
                <w:spacing w:val="-2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11198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9438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6314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5334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гостиниц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 xml:space="preserve">и предприятий общественного питания 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1604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1164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финансовая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и страховая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1126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Деятельность профессионал</w:t>
            </w:r>
            <w:r w:rsidRPr="004F11DD">
              <w:rPr>
                <w:rFonts w:ascii="Arial" w:hAnsi="Arial" w:cs="Arial"/>
                <w:sz w:val="14"/>
                <w:szCs w:val="14"/>
              </w:rPr>
              <w:t>ь</w:t>
            </w:r>
            <w:r w:rsidRPr="004F11DD">
              <w:rPr>
                <w:rFonts w:ascii="Arial" w:hAnsi="Arial" w:cs="Arial"/>
                <w:sz w:val="14"/>
                <w:szCs w:val="14"/>
              </w:rPr>
              <w:t>ная, научная и техническая; деятельность администрати</w:t>
            </w:r>
            <w:r w:rsidRPr="004F11DD">
              <w:rPr>
                <w:rFonts w:ascii="Arial" w:hAnsi="Arial" w:cs="Arial"/>
                <w:sz w:val="14"/>
                <w:szCs w:val="14"/>
              </w:rPr>
              <w:t>в</w:t>
            </w:r>
            <w:r w:rsidRPr="004F11DD">
              <w:rPr>
                <w:rFonts w:ascii="Arial" w:hAnsi="Arial" w:cs="Arial"/>
                <w:sz w:val="14"/>
                <w:szCs w:val="14"/>
              </w:rPr>
              <w:t xml:space="preserve">ная и сопутствующие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4139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 xml:space="preserve">и обеспечение военной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безопасности; социальное обеспечение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4546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6840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5624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</w:r>
            <w:r w:rsidRPr="004F11DD">
              <w:rPr>
                <w:rFonts w:ascii="Arial" w:hAnsi="Arial" w:cs="Arial"/>
                <w:spacing w:val="-2"/>
                <w:sz w:val="14"/>
                <w:szCs w:val="14"/>
              </w:rPr>
              <w:t>здравоохранения и социальных</w:t>
            </w:r>
            <w:r w:rsidRPr="004F11DD">
              <w:rPr>
                <w:rFonts w:ascii="Arial" w:hAnsi="Arial" w:cs="Arial"/>
                <w:sz w:val="14"/>
                <w:szCs w:val="14"/>
              </w:rPr>
              <w:t xml:space="preserve"> услуг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5693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5048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 xml:space="preserve">Предоставление прочих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  <w:t>видов услуг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1427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</w:tr>
      <w:tr w:rsidR="00AB65AE" w:rsidRPr="004F11DD" w:rsidTr="00576AAF">
        <w:trPr>
          <w:jc w:val="center"/>
        </w:trPr>
        <w:tc>
          <w:tcPr>
            <w:tcW w:w="2214" w:type="dxa"/>
            <w:tcBorders>
              <w:bottom w:val="single" w:sz="6" w:space="0" w:color="auto"/>
              <w:right w:val="single" w:sz="6" w:space="0" w:color="auto"/>
            </w:tcBorders>
          </w:tcPr>
          <w:p w:rsidR="00AB65AE" w:rsidRPr="004F11DD" w:rsidRDefault="00AB65AE" w:rsidP="00576AA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B65AE" w:rsidRPr="004F11DD" w:rsidRDefault="00AB65AE" w:rsidP="00576AA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</w:tbl>
    <w:p w:rsidR="009555A6" w:rsidRPr="00F8022B" w:rsidRDefault="009555A6" w:rsidP="00AB65AE">
      <w:bookmarkStart w:id="0" w:name="_GoBack"/>
      <w:bookmarkEnd w:id="0"/>
    </w:p>
    <w:sectPr w:rsidR="009555A6" w:rsidRPr="00F8022B" w:rsidSect="003A593E">
      <w:footerReference w:type="default" r:id="rId8"/>
      <w:pgSz w:w="11906" w:h="16838" w:code="9"/>
      <w:pgMar w:top="2835" w:right="1191" w:bottom="1928" w:left="1191" w:header="2268" w:footer="1474" w:gutter="0"/>
      <w:pgNumType w:start="10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3" w:rsidRDefault="00B50C83">
      <w:r>
        <w:separator/>
      </w:r>
    </w:p>
  </w:endnote>
  <w:endnote w:type="continuationSeparator" w:id="0">
    <w:p w:rsidR="00B50C83" w:rsidRDefault="00B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84" w:rsidRDefault="00D364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3" w:rsidRDefault="00B50C83">
      <w:r>
        <w:separator/>
      </w:r>
    </w:p>
  </w:footnote>
  <w:footnote w:type="continuationSeparator" w:id="0">
    <w:p w:rsidR="00B50C83" w:rsidRDefault="00B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C48"/>
    <w:multiLevelType w:val="hybridMultilevel"/>
    <w:tmpl w:val="EDAEAC14"/>
    <w:lvl w:ilvl="0" w:tplc="ECB8E21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B"/>
    <w:rsid w:val="00011B98"/>
    <w:rsid w:val="0001771E"/>
    <w:rsid w:val="000237F3"/>
    <w:rsid w:val="000327F1"/>
    <w:rsid w:val="00037607"/>
    <w:rsid w:val="00044556"/>
    <w:rsid w:val="0005045C"/>
    <w:rsid w:val="00066C00"/>
    <w:rsid w:val="000B1536"/>
    <w:rsid w:val="000F3C59"/>
    <w:rsid w:val="00115D53"/>
    <w:rsid w:val="00125795"/>
    <w:rsid w:val="0015407F"/>
    <w:rsid w:val="00156ABC"/>
    <w:rsid w:val="00164F90"/>
    <w:rsid w:val="001666C3"/>
    <w:rsid w:val="001725D4"/>
    <w:rsid w:val="00174296"/>
    <w:rsid w:val="0018077E"/>
    <w:rsid w:val="00184C84"/>
    <w:rsid w:val="001879E8"/>
    <w:rsid w:val="001B7EE1"/>
    <w:rsid w:val="002251F2"/>
    <w:rsid w:val="002428A4"/>
    <w:rsid w:val="00244325"/>
    <w:rsid w:val="00244902"/>
    <w:rsid w:val="002566DC"/>
    <w:rsid w:val="00260833"/>
    <w:rsid w:val="0029312A"/>
    <w:rsid w:val="002973D7"/>
    <w:rsid w:val="002B3BC8"/>
    <w:rsid w:val="002C4B17"/>
    <w:rsid w:val="002F0508"/>
    <w:rsid w:val="00330229"/>
    <w:rsid w:val="00335A13"/>
    <w:rsid w:val="003400D4"/>
    <w:rsid w:val="003561B5"/>
    <w:rsid w:val="00361953"/>
    <w:rsid w:val="003A2371"/>
    <w:rsid w:val="003A593E"/>
    <w:rsid w:val="003C6E24"/>
    <w:rsid w:val="003D0FBC"/>
    <w:rsid w:val="003E55A8"/>
    <w:rsid w:val="003E72F6"/>
    <w:rsid w:val="00403B5D"/>
    <w:rsid w:val="00404101"/>
    <w:rsid w:val="004045E1"/>
    <w:rsid w:val="004178A5"/>
    <w:rsid w:val="004352B3"/>
    <w:rsid w:val="00445D5E"/>
    <w:rsid w:val="00496A49"/>
    <w:rsid w:val="004A3D8A"/>
    <w:rsid w:val="004B56EA"/>
    <w:rsid w:val="004E46F6"/>
    <w:rsid w:val="004F11DD"/>
    <w:rsid w:val="004F4030"/>
    <w:rsid w:val="0050585A"/>
    <w:rsid w:val="00511FFC"/>
    <w:rsid w:val="005208A7"/>
    <w:rsid w:val="00527EF0"/>
    <w:rsid w:val="00536BBD"/>
    <w:rsid w:val="005400E9"/>
    <w:rsid w:val="00540DDB"/>
    <w:rsid w:val="00541A28"/>
    <w:rsid w:val="0056141D"/>
    <w:rsid w:val="005A1EAD"/>
    <w:rsid w:val="005A617B"/>
    <w:rsid w:val="005C1BBD"/>
    <w:rsid w:val="005D6AB4"/>
    <w:rsid w:val="005E5E22"/>
    <w:rsid w:val="006019DE"/>
    <w:rsid w:val="0061680B"/>
    <w:rsid w:val="0062741B"/>
    <w:rsid w:val="0063162C"/>
    <w:rsid w:val="00632175"/>
    <w:rsid w:val="00652705"/>
    <w:rsid w:val="00654E80"/>
    <w:rsid w:val="00655442"/>
    <w:rsid w:val="00666144"/>
    <w:rsid w:val="00676553"/>
    <w:rsid w:val="006B6300"/>
    <w:rsid w:val="006C28BB"/>
    <w:rsid w:val="006E239A"/>
    <w:rsid w:val="006E5450"/>
    <w:rsid w:val="00702FA2"/>
    <w:rsid w:val="00745343"/>
    <w:rsid w:val="00747C18"/>
    <w:rsid w:val="00757331"/>
    <w:rsid w:val="00771BD7"/>
    <w:rsid w:val="007936D6"/>
    <w:rsid w:val="007E7606"/>
    <w:rsid w:val="007F72E1"/>
    <w:rsid w:val="00806F43"/>
    <w:rsid w:val="0084749D"/>
    <w:rsid w:val="008558ED"/>
    <w:rsid w:val="00856016"/>
    <w:rsid w:val="008576B6"/>
    <w:rsid w:val="00872BF5"/>
    <w:rsid w:val="00897994"/>
    <w:rsid w:val="008A50E5"/>
    <w:rsid w:val="008B588B"/>
    <w:rsid w:val="008B77D8"/>
    <w:rsid w:val="008D1188"/>
    <w:rsid w:val="008D14B4"/>
    <w:rsid w:val="008D2B4B"/>
    <w:rsid w:val="008E7A66"/>
    <w:rsid w:val="00906ADB"/>
    <w:rsid w:val="00926A98"/>
    <w:rsid w:val="00943238"/>
    <w:rsid w:val="00943E3A"/>
    <w:rsid w:val="009555A6"/>
    <w:rsid w:val="0098025E"/>
    <w:rsid w:val="009879F9"/>
    <w:rsid w:val="0099370E"/>
    <w:rsid w:val="00995853"/>
    <w:rsid w:val="009A2F33"/>
    <w:rsid w:val="009C1EA8"/>
    <w:rsid w:val="009C4440"/>
    <w:rsid w:val="009D38D2"/>
    <w:rsid w:val="009D5602"/>
    <w:rsid w:val="009E438A"/>
    <w:rsid w:val="009E5263"/>
    <w:rsid w:val="00A019B4"/>
    <w:rsid w:val="00A45C27"/>
    <w:rsid w:val="00A93CEE"/>
    <w:rsid w:val="00A956FE"/>
    <w:rsid w:val="00A97D84"/>
    <w:rsid w:val="00AB65AE"/>
    <w:rsid w:val="00AC0234"/>
    <w:rsid w:val="00AC3781"/>
    <w:rsid w:val="00AC6ED9"/>
    <w:rsid w:val="00AD1CFC"/>
    <w:rsid w:val="00AF5CA4"/>
    <w:rsid w:val="00B0698A"/>
    <w:rsid w:val="00B3760D"/>
    <w:rsid w:val="00B5044C"/>
    <w:rsid w:val="00B5089B"/>
    <w:rsid w:val="00B50C83"/>
    <w:rsid w:val="00B63395"/>
    <w:rsid w:val="00B85917"/>
    <w:rsid w:val="00B922A8"/>
    <w:rsid w:val="00B92DAC"/>
    <w:rsid w:val="00B965D0"/>
    <w:rsid w:val="00B96BB6"/>
    <w:rsid w:val="00BA57FC"/>
    <w:rsid w:val="00BB3890"/>
    <w:rsid w:val="00C04476"/>
    <w:rsid w:val="00C54151"/>
    <w:rsid w:val="00C552C9"/>
    <w:rsid w:val="00C602B9"/>
    <w:rsid w:val="00C6416C"/>
    <w:rsid w:val="00C66A9A"/>
    <w:rsid w:val="00C71F9D"/>
    <w:rsid w:val="00C74D57"/>
    <w:rsid w:val="00C862E7"/>
    <w:rsid w:val="00C8725B"/>
    <w:rsid w:val="00CE00FC"/>
    <w:rsid w:val="00D022ED"/>
    <w:rsid w:val="00D334D2"/>
    <w:rsid w:val="00D36484"/>
    <w:rsid w:val="00D42F5F"/>
    <w:rsid w:val="00D475E5"/>
    <w:rsid w:val="00D834B2"/>
    <w:rsid w:val="00DA49C7"/>
    <w:rsid w:val="00DC5A6F"/>
    <w:rsid w:val="00DC5D03"/>
    <w:rsid w:val="00DD4746"/>
    <w:rsid w:val="00DD6AAB"/>
    <w:rsid w:val="00DF12CE"/>
    <w:rsid w:val="00DF3F64"/>
    <w:rsid w:val="00DF767F"/>
    <w:rsid w:val="00E11B34"/>
    <w:rsid w:val="00E503FC"/>
    <w:rsid w:val="00E626F1"/>
    <w:rsid w:val="00E668C1"/>
    <w:rsid w:val="00E72A57"/>
    <w:rsid w:val="00E86691"/>
    <w:rsid w:val="00E87946"/>
    <w:rsid w:val="00E91585"/>
    <w:rsid w:val="00EA22BE"/>
    <w:rsid w:val="00EB6CB8"/>
    <w:rsid w:val="00EF0AA0"/>
    <w:rsid w:val="00EF3CFA"/>
    <w:rsid w:val="00F21869"/>
    <w:rsid w:val="00F34186"/>
    <w:rsid w:val="00F56863"/>
    <w:rsid w:val="00F67F83"/>
    <w:rsid w:val="00F7029A"/>
    <w:rsid w:val="00F8022B"/>
    <w:rsid w:val="00F80875"/>
    <w:rsid w:val="00F82D98"/>
    <w:rsid w:val="00F85E3A"/>
    <w:rsid w:val="00FC3ABB"/>
    <w:rsid w:val="00FD2ACB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ВЦ ГКС РФ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стат3</dc:creator>
  <cp:lastModifiedBy>Корнева Лариса Петровна</cp:lastModifiedBy>
  <cp:revision>2</cp:revision>
  <cp:lastPrinted>2016-08-16T10:44:00Z</cp:lastPrinted>
  <dcterms:created xsi:type="dcterms:W3CDTF">2020-07-31T07:02:00Z</dcterms:created>
  <dcterms:modified xsi:type="dcterms:W3CDTF">2020-07-31T07:02:00Z</dcterms:modified>
</cp:coreProperties>
</file>