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0" w:rsidRPr="00915284" w:rsidRDefault="00B17D00" w:rsidP="00B17D00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>2.23. СТРУКТУРА ЗАНЯТЫХ ПО ВИДАМ ЭКОНОМИЧЕСКОЙ ДЕЯТЕЛЬНОСТИ</w:t>
      </w:r>
      <w:proofErr w:type="gramStart"/>
      <w:r w:rsidRPr="00915284">
        <w:rPr>
          <w:vertAlign w:val="superscript"/>
        </w:rPr>
        <w:t>1</w:t>
      </w:r>
      <w:proofErr w:type="gramEnd"/>
      <w:r w:rsidRPr="00915284">
        <w:rPr>
          <w:vertAlign w:val="superscript"/>
        </w:rPr>
        <w:t>)</w:t>
      </w:r>
      <w:r w:rsidRPr="00915284">
        <w:t xml:space="preserve"> 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505"/>
        <w:gridCol w:w="505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97"/>
        <w:gridCol w:w="497"/>
        <w:gridCol w:w="497"/>
      </w:tblGrid>
      <w:tr w:rsidR="00B17D00" w:rsidRPr="00915284" w:rsidTr="00D15404">
        <w:trPr>
          <w:jc w:val="center"/>
        </w:trPr>
        <w:tc>
          <w:tcPr>
            <w:tcW w:w="13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2006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2007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2008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2009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915284">
              <w:rPr>
                <w:b w:val="0"/>
                <w:bCs w:val="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915284">
              <w:rPr>
                <w:b w:val="0"/>
                <w:bCs w:val="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2018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D00" w:rsidRPr="00915284" w:rsidRDefault="00B17D00" w:rsidP="00D15404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2019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– всего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17,5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энергией, газом и паром;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организация сбора и утилизация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отходов, деятельность по ликвид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ции загрязнений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ремонт автотранспортных средств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мотоциклов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15,6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Деятельность гостиниц и предпри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я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тий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общественного питания 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ции и связи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финансовая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страховая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научная и техническая;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административная и сопу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ствующие дополнительные услуги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5,4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обеспечение военной безопасн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сти; социальное обеспечение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здрав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охранения и социальных услуг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2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264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261" w:type="pct"/>
            <w:tcBorders>
              <w:lef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</w:tr>
      <w:tr w:rsidR="00B17D00" w:rsidRPr="00915284" w:rsidTr="00D15404">
        <w:trPr>
          <w:jc w:val="center"/>
        </w:trPr>
        <w:tc>
          <w:tcPr>
            <w:tcW w:w="1310" w:type="pct"/>
            <w:tcBorders>
              <w:bottom w:val="single" w:sz="4" w:space="0" w:color="auto"/>
              <w:right w:val="single" w:sz="6" w:space="0" w:color="auto"/>
            </w:tcBorders>
          </w:tcPr>
          <w:p w:rsidR="00B17D00" w:rsidRPr="00915284" w:rsidRDefault="00B17D00" w:rsidP="00D15404">
            <w:pPr>
              <w:spacing w:before="12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Другие виды экономической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деятельности</w:t>
            </w:r>
          </w:p>
        </w:tc>
        <w:tc>
          <w:tcPr>
            <w:tcW w:w="2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4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1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1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261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17D00" w:rsidRPr="00915284" w:rsidRDefault="00B17D00" w:rsidP="00D15404">
            <w:pPr>
              <w:spacing w:before="120" w:line="180" w:lineRule="exact"/>
              <w:ind w:left="28"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</w:tr>
    </w:tbl>
    <w:p w:rsidR="0096413D" w:rsidRPr="00DE503F" w:rsidRDefault="00B17D00" w:rsidP="00B17D00">
      <w:pPr>
        <w:pStyle w:val="a4"/>
        <w:spacing w:before="60"/>
        <w:jc w:val="left"/>
        <w:outlineLvl w:val="0"/>
      </w:pPr>
      <w:r w:rsidRPr="00915284">
        <w:rPr>
          <w:b w:val="0"/>
          <w:sz w:val="12"/>
          <w:szCs w:val="12"/>
          <w:vertAlign w:val="superscript"/>
        </w:rPr>
        <w:t>1)</w:t>
      </w:r>
      <w:r w:rsidRPr="00915284">
        <w:rPr>
          <w:b w:val="0"/>
          <w:sz w:val="12"/>
          <w:szCs w:val="12"/>
        </w:rPr>
        <w:t xml:space="preserve"> Данные за 2006 – 2015 гг. пересчитаны в соответствии с ОКВЭД</w:t>
      </w:r>
      <w:proofErr w:type="gramStart"/>
      <w:r w:rsidRPr="00915284">
        <w:rPr>
          <w:b w:val="0"/>
          <w:sz w:val="12"/>
          <w:szCs w:val="12"/>
        </w:rPr>
        <w:t>2</w:t>
      </w:r>
      <w:proofErr w:type="gramEnd"/>
      <w:r w:rsidRPr="00915284">
        <w:rPr>
          <w:b w:val="0"/>
          <w:sz w:val="12"/>
          <w:szCs w:val="12"/>
        </w:rPr>
        <w:t>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17D00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8F83-DDE0-47C0-ABDE-CE2BDF63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2439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2020-07-30T14:36:00Z</dcterms:created>
  <dcterms:modified xsi:type="dcterms:W3CDTF">2020-07-30T14:36:00Z</dcterms:modified>
</cp:coreProperties>
</file>